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537EA09">
      <w:pPr>
        <w:rPr>
          <w:rFonts w:hint="eastAsia" w:eastAsia="宋体"/>
          <w:lang w:val="en-US" w:eastAsia="zh-CN"/>
          <w:woUserID w:val="0"/>
        </w:rPr>
      </w:pPr>
    </w:p>
    <w:p w14:paraId="474A6FDE">
      <w:pPr>
        <w:rPr>
          <w:rFonts w:hint="eastAsia" w:ascii="仿宋_GB2312" w:hAnsi="仿宋_GB2312" w:eastAsia="仿宋_GB2312" w:cs="仿宋_GB2312"/>
          <w:color w:val="auto"/>
          <w:sz w:val="36"/>
          <w:szCs w:val="36"/>
          <w:lang w:val="en-US" w:eastAsia="zh-CN"/>
        </w:rPr>
      </w:pPr>
    </w:p>
    <w:p w14:paraId="4B4C2FF9">
      <w:pPr>
        <w:rPr>
          <w:rFonts w:hint="eastAsia" w:ascii="仿宋_GB2312" w:hAnsi="仿宋_GB2312" w:eastAsia="仿宋_GB2312" w:cs="仿宋_GB2312"/>
          <w:color w:val="auto"/>
          <w:sz w:val="36"/>
          <w:szCs w:val="36"/>
          <w:lang w:val="en-US" w:eastAsia="zh-CN"/>
        </w:rPr>
      </w:pPr>
    </w:p>
    <w:p w14:paraId="46617FE0">
      <w:pPr>
        <w:adjustRightInd w:val="0"/>
        <w:snapToGrid w:val="0"/>
        <w:jc w:val="center"/>
        <w:outlineLvl w:val="0"/>
        <w:rPr>
          <w:rFonts w:hint="eastAsia" w:ascii="方正小标宋_GBK" w:eastAsia="方正小标宋_GBK"/>
          <w:bCs/>
          <w:color w:val="auto"/>
          <w:sz w:val="72"/>
          <w:szCs w:val="72"/>
        </w:rPr>
      </w:pPr>
      <w:r>
        <w:rPr>
          <w:rFonts w:hint="eastAsia" w:ascii="方正小标宋_GBK" w:eastAsia="方正小标宋_GBK"/>
          <w:bCs/>
          <w:color w:val="auto"/>
          <w:sz w:val="72"/>
          <w:szCs w:val="72"/>
        </w:rPr>
        <w:t>建设项目环境影响报告表</w:t>
      </w:r>
    </w:p>
    <w:p w14:paraId="113FAA09">
      <w:pPr>
        <w:adjustRightInd w:val="0"/>
        <w:snapToGrid w:val="0"/>
        <w:spacing w:before="192" w:beforeLines="80"/>
        <w:jc w:val="center"/>
        <w:rPr>
          <w:rFonts w:hint="eastAsia" w:ascii="楷体_GB2312" w:eastAsia="楷体_GB2312"/>
          <w:bCs/>
          <w:color w:val="auto"/>
          <w:sz w:val="48"/>
          <w:szCs w:val="48"/>
        </w:rPr>
      </w:pPr>
      <w:r>
        <w:rPr>
          <w:rFonts w:hint="eastAsia" w:ascii="楷体_GB2312" w:eastAsia="楷体_GB2312"/>
          <w:bCs/>
          <w:color w:val="auto"/>
          <w:sz w:val="48"/>
          <w:szCs w:val="48"/>
        </w:rPr>
        <w:t>（</w:t>
      </w:r>
      <w:r>
        <w:rPr>
          <w:rFonts w:hint="eastAsia" w:ascii="楷体_GB2312" w:eastAsia="楷体_GB2312"/>
          <w:bCs/>
          <w:color w:val="auto"/>
          <w:sz w:val="48"/>
          <w:szCs w:val="48"/>
          <w:lang w:eastAsia="zh-CN"/>
        </w:rPr>
        <w:t>生态</w:t>
      </w:r>
      <w:r>
        <w:rPr>
          <w:rFonts w:hint="eastAsia" w:ascii="楷体_GB2312" w:eastAsia="楷体_GB2312"/>
          <w:bCs/>
          <w:color w:val="auto"/>
          <w:sz w:val="48"/>
          <w:szCs w:val="48"/>
        </w:rPr>
        <w:t>影响类）</w:t>
      </w:r>
    </w:p>
    <w:p w14:paraId="7B1410CB">
      <w:pPr>
        <w:keepNext w:val="0"/>
        <w:keepLines w:val="0"/>
        <w:pageBreakBefore w:val="0"/>
        <w:widowControl w:val="0"/>
        <w:kinsoku/>
        <w:wordWrap/>
        <w:overflowPunct/>
        <w:topLinePunct w:val="0"/>
        <w:autoSpaceDE/>
        <w:autoSpaceDN/>
        <w:bidi w:val="0"/>
        <w:adjustRightInd w:val="0"/>
        <w:snapToGrid w:val="0"/>
        <w:spacing w:line="288" w:lineRule="auto"/>
        <w:jc w:val="center"/>
        <w:textAlignment w:val="auto"/>
        <w:outlineLvl w:val="9"/>
        <w:rPr>
          <w:rFonts w:ascii="华文仿宋" w:hAnsi="华文仿宋" w:eastAsia="华文仿宋" w:cs="华文仿宋"/>
          <w:color w:val="auto"/>
          <w:kern w:val="44"/>
          <w:sz w:val="44"/>
          <w:szCs w:val="44"/>
        </w:rPr>
      </w:pPr>
    </w:p>
    <w:p w14:paraId="469C9B1F">
      <w:pPr>
        <w:keepNext w:val="0"/>
        <w:keepLines w:val="0"/>
        <w:pageBreakBefore w:val="0"/>
        <w:widowControl w:val="0"/>
        <w:kinsoku/>
        <w:wordWrap/>
        <w:overflowPunct/>
        <w:topLinePunct w:val="0"/>
        <w:autoSpaceDE/>
        <w:autoSpaceDN/>
        <w:bidi w:val="0"/>
        <w:jc w:val="center"/>
        <w:textAlignment w:val="auto"/>
        <w:outlineLvl w:val="9"/>
        <w:rPr>
          <w:rFonts w:eastAsia="仿宋"/>
          <w:color w:val="auto"/>
          <w:sz w:val="52"/>
          <w:szCs w:val="52"/>
        </w:rPr>
      </w:pPr>
    </w:p>
    <w:p w14:paraId="0D316129">
      <w:pPr>
        <w:keepNext w:val="0"/>
        <w:keepLines w:val="0"/>
        <w:pageBreakBefore w:val="0"/>
        <w:widowControl w:val="0"/>
        <w:kinsoku/>
        <w:wordWrap/>
        <w:overflowPunct/>
        <w:topLinePunct w:val="0"/>
        <w:autoSpaceDE/>
        <w:autoSpaceDN/>
        <w:bidi w:val="0"/>
        <w:ind w:firstLine="1040"/>
        <w:textAlignment w:val="auto"/>
        <w:outlineLvl w:val="9"/>
        <w:rPr>
          <w:rFonts w:eastAsia="仿宋"/>
          <w:color w:val="auto"/>
          <w:sz w:val="44"/>
          <w:szCs w:val="44"/>
        </w:rPr>
      </w:pPr>
    </w:p>
    <w:p w14:paraId="106C4D05">
      <w:pPr>
        <w:keepNext w:val="0"/>
        <w:keepLines w:val="0"/>
        <w:pageBreakBefore w:val="0"/>
        <w:widowControl w:val="0"/>
        <w:kinsoku/>
        <w:wordWrap/>
        <w:overflowPunct/>
        <w:topLinePunct w:val="0"/>
        <w:autoSpaceDE/>
        <w:autoSpaceDN/>
        <w:bidi w:val="0"/>
        <w:ind w:firstLine="1040"/>
        <w:textAlignment w:val="auto"/>
        <w:outlineLvl w:val="9"/>
        <w:rPr>
          <w:rFonts w:eastAsia="仿宋"/>
          <w:color w:val="auto"/>
          <w:sz w:val="44"/>
          <w:szCs w:val="44"/>
        </w:rPr>
      </w:pPr>
    </w:p>
    <w:p w14:paraId="0D27DF3A">
      <w:pPr>
        <w:keepNext w:val="0"/>
        <w:keepLines w:val="0"/>
        <w:pageBreakBefore w:val="0"/>
        <w:widowControl w:val="0"/>
        <w:kinsoku/>
        <w:wordWrap/>
        <w:overflowPunct/>
        <w:topLinePunct w:val="0"/>
        <w:autoSpaceDE/>
        <w:autoSpaceDN/>
        <w:bidi w:val="0"/>
        <w:adjustRightInd w:val="0"/>
        <w:snapToGrid w:val="0"/>
        <w:spacing w:line="288" w:lineRule="auto"/>
        <w:ind w:firstLine="723" w:firstLineChars="200"/>
        <w:jc w:val="left"/>
        <w:textAlignment w:val="auto"/>
        <w:rPr>
          <w:rFonts w:hint="default" w:ascii="仿宋_GB2312" w:eastAsia="仿宋_GB2312"/>
          <w:color w:val="auto"/>
          <w:sz w:val="28"/>
          <w:szCs w:val="28"/>
          <w:u w:val="single"/>
          <w:lang w:val="en-US" w:eastAsia="zh-CN"/>
        </w:rPr>
      </w:pPr>
      <w:r>
        <w:rPr>
          <w:rFonts w:hint="eastAsia" w:ascii="仿宋_GB2312" w:eastAsia="仿宋_GB2312"/>
          <w:b/>
          <w:bCs/>
          <w:color w:val="auto"/>
          <w:sz w:val="36"/>
          <w:szCs w:val="36"/>
        </w:rPr>
        <w:t>项目名称：</w:t>
      </w:r>
      <w:r>
        <w:rPr>
          <w:rFonts w:hint="eastAsia" w:ascii="仿宋_GB2312" w:eastAsia="仿宋_GB2312"/>
          <w:color w:val="auto"/>
          <w:sz w:val="36"/>
          <w:szCs w:val="36"/>
          <w:u w:val="single"/>
          <w:lang w:val="en-US" w:eastAsia="zh-CN"/>
        </w:rPr>
        <w:t xml:space="preserve">  </w:t>
      </w:r>
      <w:r>
        <w:rPr>
          <w:rFonts w:hint="eastAsia" w:ascii="仿宋_GB2312" w:eastAsia="仿宋_GB2312"/>
          <w:b/>
          <w:bCs/>
          <w:color w:val="auto"/>
          <w:sz w:val="32"/>
          <w:szCs w:val="32"/>
          <w:u w:val="single"/>
          <w:lang w:eastAsia="zh-CN"/>
        </w:rPr>
        <w:t>岳阳楼区城市排水防洪排涝建设项目（一期）</w:t>
      </w:r>
      <w:r>
        <w:rPr>
          <w:rFonts w:hint="eastAsia" w:ascii="仿宋_GB2312" w:eastAsia="仿宋_GB2312"/>
          <w:color w:val="auto"/>
          <w:sz w:val="36"/>
          <w:szCs w:val="36"/>
          <w:u w:val="single"/>
          <w:lang w:val="en-US" w:eastAsia="zh-CN"/>
        </w:rPr>
        <w:t xml:space="preserve">    </w:t>
      </w:r>
    </w:p>
    <w:p w14:paraId="2BAD6A6E">
      <w:pPr>
        <w:keepNext w:val="0"/>
        <w:keepLines w:val="0"/>
        <w:pageBreakBefore w:val="0"/>
        <w:widowControl w:val="0"/>
        <w:kinsoku/>
        <w:wordWrap/>
        <w:overflowPunct/>
        <w:topLinePunct w:val="0"/>
        <w:autoSpaceDE/>
        <w:autoSpaceDN/>
        <w:bidi w:val="0"/>
        <w:adjustRightInd w:val="0"/>
        <w:snapToGrid w:val="0"/>
        <w:spacing w:line="288" w:lineRule="auto"/>
        <w:ind w:firstLine="0"/>
        <w:jc w:val="left"/>
        <w:textAlignment w:val="auto"/>
        <w:rPr>
          <w:rFonts w:hint="eastAsia" w:ascii="仿宋_GB2312" w:eastAsia="仿宋_GB2312"/>
          <w:color w:val="auto"/>
          <w:sz w:val="36"/>
          <w:szCs w:val="36"/>
          <w:u w:val="single"/>
        </w:rPr>
      </w:pPr>
    </w:p>
    <w:p w14:paraId="1E3CC175">
      <w:pPr>
        <w:keepNext w:val="0"/>
        <w:keepLines w:val="0"/>
        <w:pageBreakBefore w:val="0"/>
        <w:widowControl w:val="0"/>
        <w:kinsoku/>
        <w:wordWrap/>
        <w:overflowPunct/>
        <w:topLinePunct w:val="0"/>
        <w:autoSpaceDE/>
        <w:autoSpaceDN/>
        <w:bidi w:val="0"/>
        <w:adjustRightInd w:val="0"/>
        <w:snapToGrid w:val="0"/>
        <w:spacing w:line="288" w:lineRule="auto"/>
        <w:ind w:firstLine="723" w:firstLineChars="200"/>
        <w:jc w:val="left"/>
        <w:textAlignment w:val="auto"/>
        <w:rPr>
          <w:rFonts w:hint="default" w:ascii="仿宋_GB2312" w:eastAsia="仿宋_GB2312"/>
          <w:color w:val="auto"/>
          <w:sz w:val="36"/>
          <w:szCs w:val="36"/>
          <w:u w:val="single"/>
          <w:lang w:val="en-US" w:eastAsia="zh-CN"/>
        </w:rPr>
      </w:pPr>
      <w:r>
        <w:rPr>
          <w:rFonts w:hint="eastAsia" w:ascii="仿宋_GB2312" w:eastAsia="仿宋_GB2312"/>
          <w:b/>
          <w:bCs/>
          <w:color w:val="auto"/>
          <w:sz w:val="36"/>
          <w:szCs w:val="36"/>
        </w:rPr>
        <w:t>建设单位（盖章）：</w:t>
      </w:r>
      <w:r>
        <w:rPr>
          <w:rFonts w:hint="eastAsia" w:ascii="仿宋_GB2312" w:eastAsia="仿宋_GB2312"/>
          <w:color w:val="auto"/>
          <w:sz w:val="36"/>
          <w:szCs w:val="36"/>
          <w:u w:val="single"/>
        </w:rPr>
        <w:t xml:space="preserve"> </w:t>
      </w:r>
      <w:r>
        <w:rPr>
          <w:rFonts w:hint="eastAsia" w:ascii="仿宋_GB2312" w:eastAsia="仿宋_GB2312"/>
          <w:color w:val="auto"/>
          <w:sz w:val="36"/>
          <w:szCs w:val="36"/>
          <w:u w:val="single"/>
          <w:lang w:val="en-US" w:eastAsia="zh-CN"/>
        </w:rPr>
        <w:t xml:space="preserve">   </w:t>
      </w:r>
      <w:r>
        <w:rPr>
          <w:rFonts w:hint="eastAsia" w:ascii="仿宋_GB2312" w:eastAsia="仿宋_GB2312"/>
          <w:b/>
          <w:bCs/>
          <w:color w:val="auto"/>
          <w:sz w:val="32"/>
          <w:szCs w:val="32"/>
          <w:u w:val="single"/>
          <w:lang w:val="en-US" w:eastAsia="zh-CN"/>
        </w:rPr>
        <w:t>岳阳市</w:t>
      </w:r>
      <w:r>
        <w:rPr>
          <w:rFonts w:hint="eastAsia" w:ascii="仿宋_GB2312" w:eastAsia="仿宋_GB2312"/>
          <w:b/>
          <w:bCs/>
          <w:color w:val="auto"/>
          <w:sz w:val="32"/>
          <w:szCs w:val="32"/>
          <w:u w:val="single"/>
          <w:lang w:eastAsia="zh-CN"/>
        </w:rPr>
        <w:t xml:space="preserve">岳阳楼区水利局 </w:t>
      </w:r>
      <w:r>
        <w:rPr>
          <w:rFonts w:hint="eastAsia" w:ascii="仿宋_GB2312" w:eastAsia="仿宋_GB2312"/>
          <w:color w:val="auto"/>
          <w:sz w:val="24"/>
          <w:szCs w:val="24"/>
          <w:u w:val="single"/>
          <w:lang w:val="en-US" w:eastAsia="zh-CN"/>
        </w:rPr>
        <w:t xml:space="preserve">      </w:t>
      </w:r>
    </w:p>
    <w:p w14:paraId="4D61CB06">
      <w:pPr>
        <w:keepNext w:val="0"/>
        <w:keepLines w:val="0"/>
        <w:pageBreakBefore w:val="0"/>
        <w:widowControl w:val="0"/>
        <w:kinsoku/>
        <w:wordWrap/>
        <w:overflowPunct/>
        <w:topLinePunct w:val="0"/>
        <w:autoSpaceDE/>
        <w:autoSpaceDN/>
        <w:bidi w:val="0"/>
        <w:adjustRightInd w:val="0"/>
        <w:snapToGrid w:val="0"/>
        <w:spacing w:line="288" w:lineRule="auto"/>
        <w:ind w:firstLine="0"/>
        <w:jc w:val="left"/>
        <w:textAlignment w:val="auto"/>
        <w:rPr>
          <w:rFonts w:hint="eastAsia" w:ascii="仿宋_GB2312" w:eastAsia="仿宋_GB2312"/>
          <w:color w:val="auto"/>
          <w:sz w:val="36"/>
          <w:szCs w:val="36"/>
          <w:u w:val="single"/>
        </w:rPr>
      </w:pPr>
    </w:p>
    <w:p w14:paraId="1666557C">
      <w:pPr>
        <w:keepNext w:val="0"/>
        <w:keepLines w:val="0"/>
        <w:pageBreakBefore w:val="0"/>
        <w:widowControl w:val="0"/>
        <w:kinsoku/>
        <w:wordWrap/>
        <w:overflowPunct/>
        <w:topLinePunct w:val="0"/>
        <w:autoSpaceDE/>
        <w:autoSpaceDN/>
        <w:bidi w:val="0"/>
        <w:adjustRightInd w:val="0"/>
        <w:snapToGrid w:val="0"/>
        <w:spacing w:line="288" w:lineRule="auto"/>
        <w:ind w:firstLine="0"/>
        <w:jc w:val="left"/>
        <w:textAlignment w:val="auto"/>
        <w:rPr>
          <w:rFonts w:hint="eastAsia" w:ascii="仿宋_GB2312" w:eastAsia="仿宋_GB2312"/>
          <w:color w:val="auto"/>
          <w:sz w:val="36"/>
          <w:szCs w:val="36"/>
          <w:u w:val="single"/>
        </w:rPr>
      </w:pPr>
    </w:p>
    <w:p w14:paraId="1B5E2F55">
      <w:pPr>
        <w:keepNext w:val="0"/>
        <w:keepLines w:val="0"/>
        <w:pageBreakBefore w:val="0"/>
        <w:widowControl w:val="0"/>
        <w:kinsoku/>
        <w:wordWrap/>
        <w:overflowPunct/>
        <w:topLinePunct w:val="0"/>
        <w:autoSpaceDE/>
        <w:autoSpaceDN/>
        <w:bidi w:val="0"/>
        <w:adjustRightInd w:val="0"/>
        <w:snapToGrid w:val="0"/>
        <w:spacing w:line="288" w:lineRule="auto"/>
        <w:ind w:firstLine="0"/>
        <w:jc w:val="left"/>
        <w:textAlignment w:val="auto"/>
        <w:rPr>
          <w:rFonts w:hint="default" w:ascii="仿宋_GB2312" w:eastAsia="仿宋_GB2312"/>
          <w:color w:val="auto"/>
          <w:sz w:val="36"/>
          <w:szCs w:val="36"/>
          <w:u w:val="single"/>
          <w:lang w:val="en-US" w:eastAsia="zh-CN"/>
        </w:rPr>
      </w:pPr>
    </w:p>
    <w:p w14:paraId="3F4C2519">
      <w:pPr>
        <w:keepNext w:val="0"/>
        <w:keepLines w:val="0"/>
        <w:pageBreakBefore w:val="0"/>
        <w:widowControl w:val="0"/>
        <w:kinsoku/>
        <w:wordWrap/>
        <w:overflowPunct/>
        <w:topLinePunct w:val="0"/>
        <w:autoSpaceDE/>
        <w:autoSpaceDN/>
        <w:bidi w:val="0"/>
        <w:adjustRightInd w:val="0"/>
        <w:snapToGrid w:val="0"/>
        <w:spacing w:line="288" w:lineRule="auto"/>
        <w:ind w:firstLine="0"/>
        <w:jc w:val="left"/>
        <w:textAlignment w:val="auto"/>
        <w:rPr>
          <w:rFonts w:hint="eastAsia" w:ascii="仿宋_GB2312" w:eastAsia="仿宋_GB2312"/>
          <w:color w:val="auto"/>
          <w:sz w:val="36"/>
          <w:szCs w:val="36"/>
          <w:u w:val="single"/>
        </w:rPr>
      </w:pPr>
    </w:p>
    <w:p w14:paraId="7C7EA516">
      <w:pPr>
        <w:rPr>
          <w:rFonts w:hint="eastAsia"/>
          <w:color w:val="auto"/>
        </w:rPr>
      </w:pPr>
    </w:p>
    <w:p w14:paraId="6459D07E">
      <w:pPr>
        <w:keepNext w:val="0"/>
        <w:keepLines w:val="0"/>
        <w:pageBreakBefore w:val="0"/>
        <w:widowControl w:val="0"/>
        <w:kinsoku/>
        <w:wordWrap/>
        <w:overflowPunct/>
        <w:topLinePunct w:val="0"/>
        <w:autoSpaceDE/>
        <w:autoSpaceDN/>
        <w:bidi w:val="0"/>
        <w:adjustRightInd w:val="0"/>
        <w:snapToGrid w:val="0"/>
        <w:spacing w:line="288" w:lineRule="auto"/>
        <w:ind w:firstLine="0"/>
        <w:jc w:val="center"/>
        <w:textAlignment w:val="auto"/>
        <w:rPr>
          <w:rFonts w:hint="eastAsia" w:ascii="仿宋_GB2312" w:eastAsia="仿宋_GB2312"/>
          <w:color w:val="auto"/>
          <w:sz w:val="36"/>
          <w:szCs w:val="36"/>
          <w:u w:val="single"/>
          <w:lang w:eastAsia="zh-CN"/>
        </w:rPr>
      </w:pPr>
    </w:p>
    <w:p w14:paraId="14D37643">
      <w:pPr>
        <w:keepNext w:val="0"/>
        <w:keepLines w:val="0"/>
        <w:pageBreakBefore w:val="0"/>
        <w:widowControl w:val="0"/>
        <w:kinsoku/>
        <w:wordWrap/>
        <w:overflowPunct/>
        <w:topLinePunct w:val="0"/>
        <w:autoSpaceDE/>
        <w:autoSpaceDN/>
        <w:bidi w:val="0"/>
        <w:adjustRightInd w:val="0"/>
        <w:snapToGrid w:val="0"/>
        <w:spacing w:line="288" w:lineRule="auto"/>
        <w:ind w:firstLine="0"/>
        <w:jc w:val="left"/>
        <w:textAlignment w:val="auto"/>
        <w:rPr>
          <w:rFonts w:hint="eastAsia" w:ascii="仿宋_GB2312" w:eastAsia="仿宋_GB2312"/>
          <w:color w:val="auto"/>
          <w:sz w:val="36"/>
          <w:szCs w:val="36"/>
          <w:u w:val="single"/>
        </w:rPr>
      </w:pPr>
    </w:p>
    <w:p w14:paraId="7CCDF464">
      <w:pPr>
        <w:pStyle w:val="7"/>
        <w:bidi w:val="0"/>
        <w:rPr>
          <w:rFonts w:hint="eastAsia"/>
          <w:color w:val="auto"/>
        </w:rPr>
      </w:pPr>
    </w:p>
    <w:p w14:paraId="3064C059">
      <w:pPr>
        <w:keepNext w:val="0"/>
        <w:keepLines w:val="0"/>
        <w:pageBreakBefore w:val="0"/>
        <w:widowControl w:val="0"/>
        <w:kinsoku/>
        <w:wordWrap/>
        <w:overflowPunct/>
        <w:topLinePunct w:val="0"/>
        <w:autoSpaceDE/>
        <w:autoSpaceDN/>
        <w:bidi w:val="0"/>
        <w:adjustRightInd w:val="0"/>
        <w:snapToGrid w:val="0"/>
        <w:spacing w:line="288" w:lineRule="auto"/>
        <w:ind w:firstLine="0" w:firstLineChars="0"/>
        <w:jc w:val="center"/>
        <w:textAlignment w:val="auto"/>
        <w:rPr>
          <w:rFonts w:hint="default" w:ascii="仿宋_GB2312" w:eastAsia="仿宋_GB2312"/>
          <w:color w:val="auto"/>
          <w:sz w:val="36"/>
          <w:szCs w:val="36"/>
          <w:u w:val="single"/>
          <w:lang w:val="en-US" w:eastAsia="zh-CN"/>
        </w:rPr>
      </w:pPr>
      <w:r>
        <w:rPr>
          <w:rFonts w:hint="eastAsia" w:ascii="仿宋_GB2312" w:eastAsia="仿宋_GB2312"/>
          <w:color w:val="auto"/>
          <w:sz w:val="36"/>
          <w:szCs w:val="36"/>
        </w:rPr>
        <w:t>编制日期：</w:t>
      </w:r>
      <w:r>
        <w:rPr>
          <w:rFonts w:hint="eastAsia" w:ascii="仿宋_GB2312" w:eastAsia="仿宋_GB2312"/>
          <w:color w:val="auto"/>
          <w:sz w:val="36"/>
          <w:szCs w:val="36"/>
          <w:u w:val="single"/>
        </w:rPr>
        <w:t xml:space="preserve"> </w:t>
      </w:r>
      <w:r>
        <w:rPr>
          <w:rFonts w:ascii="仿宋_GB2312" w:eastAsia="仿宋_GB2312"/>
          <w:color w:val="auto"/>
          <w:sz w:val="36"/>
          <w:szCs w:val="36"/>
          <w:u w:val="single"/>
        </w:rPr>
        <w:t xml:space="preserve">    </w:t>
      </w:r>
      <w:r>
        <w:rPr>
          <w:rFonts w:hint="default" w:ascii="Times New Roman" w:hAnsi="Times New Roman" w:eastAsia="仿宋_GB2312" w:cs="Times New Roman"/>
          <w:color w:val="auto"/>
          <w:sz w:val="36"/>
          <w:szCs w:val="36"/>
          <w:u w:val="single"/>
        </w:rPr>
        <w:t>二〇二</w:t>
      </w:r>
      <w:r>
        <w:rPr>
          <w:rFonts w:hint="eastAsia" w:eastAsia="仿宋_GB2312" w:cs="Times New Roman"/>
          <w:color w:val="auto"/>
          <w:sz w:val="36"/>
          <w:szCs w:val="36"/>
          <w:u w:val="single"/>
          <w:lang w:val="en-US" w:eastAsia="zh-CN"/>
        </w:rPr>
        <w:t>六</w:t>
      </w:r>
      <w:r>
        <w:rPr>
          <w:rFonts w:hint="default" w:ascii="Times New Roman" w:hAnsi="Times New Roman" w:eastAsia="仿宋_GB2312" w:cs="Times New Roman"/>
          <w:color w:val="auto"/>
          <w:sz w:val="36"/>
          <w:szCs w:val="36"/>
          <w:u w:val="single"/>
        </w:rPr>
        <w:t>年</w:t>
      </w:r>
      <w:r>
        <w:rPr>
          <w:rFonts w:hint="eastAsia" w:eastAsia="仿宋_GB2312" w:cs="Times New Roman"/>
          <w:color w:val="auto"/>
          <w:sz w:val="36"/>
          <w:szCs w:val="36"/>
          <w:u w:val="single"/>
          <w:lang w:val="en-US" w:eastAsia="zh-CN"/>
        </w:rPr>
        <w:t>六</w:t>
      </w:r>
      <w:bookmarkStart w:id="29" w:name="_GoBack"/>
      <w:bookmarkEnd w:id="29"/>
      <w:r>
        <w:rPr>
          <w:rFonts w:hint="default" w:ascii="Times New Roman" w:hAnsi="Times New Roman" w:eastAsia="仿宋_GB2312" w:cs="Times New Roman"/>
          <w:color w:val="auto"/>
          <w:sz w:val="36"/>
          <w:szCs w:val="36"/>
          <w:u w:val="single"/>
        </w:rPr>
        <w:t>月</w:t>
      </w:r>
      <w:r>
        <w:rPr>
          <w:rFonts w:hint="eastAsia" w:ascii="仿宋_GB2312" w:eastAsia="仿宋_GB2312"/>
          <w:color w:val="auto"/>
          <w:sz w:val="36"/>
          <w:szCs w:val="36"/>
          <w:u w:val="single"/>
          <w:lang w:val="en-US" w:eastAsia="zh-CN"/>
        </w:rPr>
        <w:t xml:space="preserve"> </w:t>
      </w:r>
      <w:r>
        <w:rPr>
          <w:rFonts w:ascii="仿宋_GB2312" w:eastAsia="仿宋_GB2312"/>
          <w:color w:val="auto"/>
          <w:sz w:val="36"/>
          <w:szCs w:val="36"/>
          <w:u w:val="single"/>
        </w:rPr>
        <w:t xml:space="preserve"> </w:t>
      </w:r>
      <w:r>
        <w:rPr>
          <w:rFonts w:hint="eastAsia" w:ascii="仿宋_GB2312" w:eastAsia="仿宋_GB2312"/>
          <w:color w:val="auto"/>
          <w:sz w:val="36"/>
          <w:szCs w:val="36"/>
          <w:u w:val="single"/>
          <w:lang w:val="en-US" w:eastAsia="zh-CN"/>
        </w:rPr>
        <w:t xml:space="preserve">  </w:t>
      </w:r>
    </w:p>
    <w:p w14:paraId="345EA901">
      <w:pPr>
        <w:rPr>
          <w:rFonts w:hint="eastAsia"/>
          <w:color w:val="auto"/>
        </w:rPr>
      </w:pPr>
      <w:bookmarkStart w:id="0" w:name="_Hlk57884087"/>
    </w:p>
    <w:p w14:paraId="0C76A459">
      <w:pPr>
        <w:rPr>
          <w:rFonts w:hint="eastAsia"/>
          <w:color w:val="auto"/>
        </w:rPr>
      </w:pPr>
    </w:p>
    <w:bookmarkEnd w:id="0"/>
    <w:p w14:paraId="2E1179E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楷体_GB2312" w:eastAsia="楷体_GB2312"/>
          <w:color w:val="auto"/>
          <w:sz w:val="36"/>
          <w:szCs w:val="36"/>
        </w:rPr>
      </w:pPr>
      <w:r>
        <w:rPr>
          <w:rFonts w:hint="eastAsia" w:ascii="楷体_GB2312" w:eastAsia="楷体_GB2312"/>
          <w:color w:val="auto"/>
          <w:sz w:val="36"/>
          <w:szCs w:val="36"/>
        </w:rPr>
        <w:t>中华人民共和国生态环境部制</w:t>
      </w:r>
    </w:p>
    <w:p w14:paraId="72CC3956">
      <w:pPr>
        <w:adjustRightInd w:val="0"/>
        <w:snapToGrid w:val="0"/>
        <w:spacing w:line="288" w:lineRule="auto"/>
        <w:ind w:firstLine="1040"/>
        <w:rPr>
          <w:rFonts w:ascii="仿宋_GB2312" w:eastAsia="仿宋_GB2312"/>
          <w:color w:val="auto"/>
          <w:sz w:val="36"/>
          <w:szCs w:val="36"/>
        </w:rPr>
        <w:sectPr>
          <w:headerReference r:id="rId3" w:type="default"/>
          <w:footerReference r:id="rId4" w:type="default"/>
          <w:footerReference r:id="rId5" w:type="even"/>
          <w:pgSz w:w="11906" w:h="16838"/>
          <w:pgMar w:top="1701" w:right="1531" w:bottom="1701" w:left="1531" w:header="851" w:footer="1077" w:gutter="0"/>
          <w:pgBorders>
            <w:top w:val="none" w:sz="0" w:space="0"/>
            <w:left w:val="none" w:sz="0" w:space="0"/>
            <w:bottom w:val="none" w:sz="0" w:space="0"/>
            <w:right w:val="none" w:sz="0" w:space="0"/>
          </w:pgBorders>
          <w:pgNumType w:start="3"/>
          <w:cols w:space="720" w:num="1"/>
          <w:docGrid w:linePitch="312" w:charSpace="0"/>
        </w:sectPr>
      </w:pPr>
    </w:p>
    <w:p w14:paraId="56A48085">
      <w:pPr>
        <w:keepNext w:val="0"/>
        <w:keepLines w:val="0"/>
        <w:pageBreakBefore w:val="0"/>
        <w:widowControl/>
        <w:kinsoku/>
        <w:wordWrap/>
        <w:overflowPunct/>
        <w:topLinePunct w:val="0"/>
        <w:autoSpaceDE/>
        <w:autoSpaceDN/>
        <w:bidi w:val="0"/>
        <w:adjustRightInd/>
        <w:snapToGrid/>
        <w:spacing w:before="0" w:beforeAutospacing="0" w:after="0" w:afterAutospacing="0"/>
        <w:jc w:val="center"/>
        <w:textAlignment w:val="auto"/>
        <w:outlineLvl w:val="0"/>
        <w:rPr>
          <w:rFonts w:hint="eastAsia" w:ascii="黑体" w:hAnsi="黑体" w:eastAsia="黑体"/>
          <w:snapToGrid w:val="0"/>
          <w:color w:val="auto"/>
          <w:sz w:val="30"/>
          <w:szCs w:val="30"/>
        </w:rPr>
      </w:pPr>
      <w:bookmarkStart w:id="1" w:name="_Toc1286"/>
      <w:bookmarkStart w:id="2" w:name="_Toc32629"/>
      <w:r>
        <w:rPr>
          <w:rFonts w:hint="eastAsia" w:ascii="黑体" w:hAnsi="黑体" w:eastAsia="黑体"/>
          <w:snapToGrid w:val="0"/>
          <w:color w:val="auto"/>
          <w:sz w:val="30"/>
          <w:szCs w:val="30"/>
        </w:rPr>
        <w:t>一、建设项目基本情况</w:t>
      </w:r>
      <w:bookmarkEnd w:id="1"/>
      <w:bookmarkEnd w:id="2"/>
    </w:p>
    <w:tbl>
      <w:tblPr>
        <w:tblStyle w:val="9"/>
        <w:tblW w:w="8870"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514"/>
        <w:gridCol w:w="212"/>
        <w:gridCol w:w="443"/>
        <w:gridCol w:w="3389"/>
        <w:gridCol w:w="1561"/>
        <w:gridCol w:w="112"/>
        <w:gridCol w:w="2639"/>
      </w:tblGrid>
      <w:tr w14:paraId="32440DB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169" w:type="dxa"/>
            <w:gridSpan w:val="3"/>
            <w:tcMar>
              <w:top w:w="16" w:type="dxa"/>
              <w:left w:w="16" w:type="dxa"/>
              <w:right w:w="16" w:type="dxa"/>
            </w:tcMar>
            <w:vAlign w:val="center"/>
          </w:tcPr>
          <w:p w14:paraId="66489F8E">
            <w:pPr>
              <w:adjustRightInd w:val="0"/>
              <w:snapToGrid w:val="0"/>
              <w:jc w:val="center"/>
              <w:rPr>
                <w:rFonts w:ascii="宋体" w:hAnsi="宋体" w:cs="宋体"/>
                <w:color w:val="auto"/>
                <w:sz w:val="24"/>
                <w:szCs w:val="24"/>
              </w:rPr>
            </w:pPr>
            <w:r>
              <w:rPr>
                <w:rFonts w:hint="eastAsia" w:ascii="宋体" w:hAnsi="宋体" w:cs="宋体"/>
                <w:color w:val="auto"/>
                <w:sz w:val="24"/>
                <w:szCs w:val="24"/>
              </w:rPr>
              <w:t>建设项目名称</w:t>
            </w:r>
          </w:p>
        </w:tc>
        <w:tc>
          <w:tcPr>
            <w:tcW w:w="7701" w:type="dxa"/>
            <w:gridSpan w:val="4"/>
            <w:vAlign w:val="center"/>
          </w:tcPr>
          <w:p w14:paraId="2B68D61D">
            <w:pPr>
              <w:adjustRightInd w:val="0"/>
              <w:snapToGrid w:val="0"/>
              <w:jc w:val="center"/>
              <w:rPr>
                <w:rFonts w:ascii="宋体" w:hAnsi="宋体" w:cs="宋体"/>
                <w:color w:val="auto"/>
                <w:sz w:val="24"/>
                <w:szCs w:val="24"/>
              </w:rPr>
            </w:pPr>
            <w:r>
              <w:rPr>
                <w:rFonts w:hint="eastAsia" w:ascii="宋体" w:hAnsi="宋体" w:cs="宋体"/>
                <w:color w:val="auto"/>
                <w:sz w:val="24"/>
                <w:szCs w:val="24"/>
              </w:rPr>
              <w:t>岳阳楼区城市排水防洪排涝建设项目（一期）</w:t>
            </w:r>
          </w:p>
        </w:tc>
      </w:tr>
      <w:tr w14:paraId="0E68421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169" w:type="dxa"/>
            <w:gridSpan w:val="3"/>
            <w:tcMar>
              <w:top w:w="16" w:type="dxa"/>
              <w:left w:w="16" w:type="dxa"/>
              <w:right w:w="16" w:type="dxa"/>
            </w:tcMar>
            <w:vAlign w:val="center"/>
          </w:tcPr>
          <w:p w14:paraId="2CC1A09F">
            <w:pPr>
              <w:adjustRightInd w:val="0"/>
              <w:snapToGrid w:val="0"/>
              <w:jc w:val="center"/>
              <w:rPr>
                <w:rFonts w:ascii="宋体" w:hAnsi="宋体" w:cs="宋体"/>
                <w:color w:val="auto"/>
                <w:sz w:val="24"/>
                <w:szCs w:val="24"/>
              </w:rPr>
            </w:pPr>
            <w:r>
              <w:rPr>
                <w:rFonts w:hint="eastAsia" w:ascii="宋体" w:hAnsi="宋体" w:cs="宋体"/>
                <w:color w:val="auto"/>
                <w:sz w:val="24"/>
                <w:szCs w:val="24"/>
              </w:rPr>
              <w:t>项目代码</w:t>
            </w:r>
          </w:p>
        </w:tc>
        <w:tc>
          <w:tcPr>
            <w:tcW w:w="7701" w:type="dxa"/>
            <w:gridSpan w:val="4"/>
            <w:vAlign w:val="center"/>
          </w:tcPr>
          <w:p w14:paraId="6144D042">
            <w:pPr>
              <w:adjustRightInd w:val="0"/>
              <w:snapToGrid w:val="0"/>
              <w:jc w:val="center"/>
              <w:rPr>
                <w:rFonts w:hint="default" w:ascii="宋体" w:hAnsi="宋体" w:eastAsia="宋体" w:cs="宋体"/>
                <w:color w:val="auto"/>
                <w:sz w:val="24"/>
                <w:szCs w:val="24"/>
                <w:lang w:val="en-US" w:eastAsia="zh-CN"/>
              </w:rPr>
            </w:pPr>
            <w:r>
              <w:rPr>
                <w:rFonts w:hint="eastAsia" w:ascii="宋体" w:hAnsi="宋体" w:cs="宋体"/>
                <w:color w:val="auto"/>
                <w:sz w:val="24"/>
                <w:szCs w:val="24"/>
                <w:highlight w:val="none"/>
                <w:lang w:val="en-US" w:eastAsia="zh-CN"/>
              </w:rPr>
              <w:t>2109-430602-04-05-929626</w:t>
            </w:r>
          </w:p>
        </w:tc>
      </w:tr>
      <w:tr w14:paraId="72FA160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169" w:type="dxa"/>
            <w:gridSpan w:val="3"/>
            <w:tcMar>
              <w:top w:w="16" w:type="dxa"/>
              <w:left w:w="16" w:type="dxa"/>
              <w:right w:w="16" w:type="dxa"/>
            </w:tcMar>
            <w:vAlign w:val="center"/>
          </w:tcPr>
          <w:p w14:paraId="5131001C">
            <w:pPr>
              <w:adjustRightInd w:val="0"/>
              <w:snapToGrid w:val="0"/>
              <w:jc w:val="center"/>
              <w:rPr>
                <w:rFonts w:hint="eastAsia" w:ascii="宋体" w:hAnsi="宋体" w:cs="宋体"/>
                <w:color w:val="auto"/>
                <w:sz w:val="24"/>
                <w:szCs w:val="24"/>
              </w:rPr>
            </w:pPr>
            <w:r>
              <w:rPr>
                <w:rFonts w:hint="eastAsia" w:ascii="宋体" w:hAnsi="宋体" w:cs="宋体"/>
                <w:color w:val="auto"/>
                <w:sz w:val="24"/>
                <w:szCs w:val="24"/>
              </w:rPr>
              <w:t>建设单位联系人</w:t>
            </w:r>
          </w:p>
        </w:tc>
        <w:tc>
          <w:tcPr>
            <w:tcW w:w="3389" w:type="dxa"/>
            <w:vAlign w:val="center"/>
          </w:tcPr>
          <w:p w14:paraId="3884AA56">
            <w:pPr>
              <w:adjustRightInd w:val="0"/>
              <w:snapToGrid w:val="0"/>
              <w:jc w:val="center"/>
              <w:rPr>
                <w:rFonts w:hint="default" w:ascii="宋体" w:hAnsi="宋体" w:eastAsia="宋体" w:cs="宋体"/>
                <w:color w:val="auto"/>
                <w:sz w:val="24"/>
                <w:szCs w:val="24"/>
                <w:lang w:val="en-US" w:eastAsia="zh-CN"/>
              </w:rPr>
            </w:pPr>
            <w:r>
              <w:rPr>
                <w:rFonts w:hint="eastAsia" w:ascii="宋体" w:hAnsi="宋体" w:cs="宋体"/>
                <w:color w:val="auto"/>
                <w:sz w:val="24"/>
                <w:szCs w:val="24"/>
                <w:lang w:val="en-US" w:eastAsia="zh-CN"/>
              </w:rPr>
              <w:t>林姚</w:t>
            </w:r>
          </w:p>
        </w:tc>
        <w:tc>
          <w:tcPr>
            <w:tcW w:w="1673" w:type="dxa"/>
            <w:gridSpan w:val="2"/>
            <w:vAlign w:val="center"/>
          </w:tcPr>
          <w:p w14:paraId="2988AA31">
            <w:pPr>
              <w:adjustRightInd w:val="0"/>
              <w:snapToGrid w:val="0"/>
              <w:jc w:val="center"/>
              <w:rPr>
                <w:rFonts w:ascii="宋体" w:hAnsi="宋体" w:cs="宋体"/>
                <w:color w:val="auto"/>
                <w:sz w:val="24"/>
                <w:szCs w:val="24"/>
              </w:rPr>
            </w:pPr>
            <w:r>
              <w:rPr>
                <w:rFonts w:hint="eastAsia" w:ascii="宋体" w:hAnsi="宋体" w:cs="宋体"/>
                <w:color w:val="auto"/>
                <w:sz w:val="24"/>
                <w:szCs w:val="24"/>
              </w:rPr>
              <w:t>联系方式</w:t>
            </w:r>
          </w:p>
        </w:tc>
        <w:tc>
          <w:tcPr>
            <w:tcW w:w="2639" w:type="dxa"/>
            <w:vAlign w:val="center"/>
          </w:tcPr>
          <w:p w14:paraId="53608735">
            <w:pPr>
              <w:adjustRightInd w:val="0"/>
              <w:snapToGrid w:val="0"/>
              <w:jc w:val="center"/>
              <w:rPr>
                <w:rFonts w:hint="default" w:ascii="宋体" w:hAnsi="宋体" w:eastAsia="宋体" w:cs="宋体"/>
                <w:color w:val="auto"/>
                <w:sz w:val="24"/>
                <w:szCs w:val="24"/>
                <w:lang w:val="en-US" w:eastAsia="zh-CN"/>
              </w:rPr>
            </w:pPr>
            <w:r>
              <w:rPr>
                <w:rFonts w:hint="eastAsia" w:ascii="宋体" w:hAnsi="宋体" w:cs="宋体"/>
                <w:color w:val="auto"/>
                <w:sz w:val="24"/>
                <w:szCs w:val="24"/>
                <w:lang w:val="en-US" w:eastAsia="zh-CN"/>
              </w:rPr>
              <w:t>13873034669</w:t>
            </w:r>
          </w:p>
        </w:tc>
      </w:tr>
      <w:tr w14:paraId="2E0B229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169" w:type="dxa"/>
            <w:gridSpan w:val="3"/>
            <w:tcMar>
              <w:top w:w="16" w:type="dxa"/>
              <w:left w:w="16" w:type="dxa"/>
              <w:right w:w="16" w:type="dxa"/>
            </w:tcMar>
            <w:vAlign w:val="center"/>
          </w:tcPr>
          <w:p w14:paraId="6D27F008">
            <w:pPr>
              <w:adjustRightInd w:val="0"/>
              <w:snapToGrid w:val="0"/>
              <w:jc w:val="center"/>
              <w:rPr>
                <w:rFonts w:ascii="宋体" w:hAnsi="宋体" w:cs="宋体"/>
                <w:color w:val="auto"/>
                <w:sz w:val="24"/>
                <w:szCs w:val="24"/>
              </w:rPr>
            </w:pPr>
            <w:r>
              <w:rPr>
                <w:rFonts w:hint="eastAsia" w:ascii="宋体" w:hAnsi="宋体" w:cs="宋体"/>
                <w:color w:val="auto"/>
                <w:sz w:val="24"/>
                <w:szCs w:val="24"/>
              </w:rPr>
              <w:t>建设地点</w:t>
            </w:r>
          </w:p>
        </w:tc>
        <w:tc>
          <w:tcPr>
            <w:tcW w:w="7701" w:type="dxa"/>
            <w:gridSpan w:val="4"/>
            <w:vAlign w:val="center"/>
          </w:tcPr>
          <w:p w14:paraId="52AF1ED9">
            <w:pPr>
              <w:adjustRightInd w:val="0"/>
              <w:snapToGrid w:val="0"/>
              <w:jc w:val="center"/>
              <w:rPr>
                <w:rFonts w:ascii="宋体" w:hAnsi="宋体" w:cs="宋体"/>
                <w:color w:val="auto"/>
                <w:sz w:val="24"/>
                <w:szCs w:val="24"/>
              </w:rPr>
            </w:pPr>
            <w:r>
              <w:rPr>
                <w:rFonts w:ascii="宋体" w:hAnsi="宋体" w:cs="宋体"/>
                <w:color w:val="auto"/>
                <w:sz w:val="24"/>
                <w:szCs w:val="24"/>
                <w:u w:val="single"/>
              </w:rPr>
              <w:t xml:space="preserve"> </w:t>
            </w:r>
            <w:r>
              <w:rPr>
                <w:rFonts w:hint="eastAsia" w:ascii="宋体" w:hAnsi="宋体" w:cs="宋体"/>
                <w:color w:val="auto"/>
                <w:sz w:val="24"/>
                <w:szCs w:val="24"/>
                <w:u w:val="single"/>
                <w:lang w:eastAsia="zh-CN"/>
              </w:rPr>
              <w:t>湖南</w:t>
            </w:r>
            <w:r>
              <w:rPr>
                <w:rFonts w:ascii="宋体" w:hAnsi="宋体" w:cs="宋体"/>
                <w:color w:val="auto"/>
                <w:sz w:val="24"/>
                <w:szCs w:val="24"/>
                <w:u w:val="single"/>
              </w:rPr>
              <w:t xml:space="preserve"> </w:t>
            </w:r>
            <w:r>
              <w:rPr>
                <w:rFonts w:hint="eastAsia" w:ascii="宋体" w:hAnsi="宋体" w:cs="宋体"/>
                <w:color w:val="auto"/>
                <w:sz w:val="24"/>
                <w:szCs w:val="24"/>
              </w:rPr>
              <w:t>省</w:t>
            </w:r>
            <w:r>
              <w:rPr>
                <w:rFonts w:hint="eastAsia" w:ascii="宋体" w:hAnsi="宋体" w:cs="宋体"/>
                <w:color w:val="auto"/>
                <w:sz w:val="24"/>
                <w:szCs w:val="24"/>
                <w:lang w:val="en-US" w:eastAsia="zh-CN"/>
              </w:rPr>
              <w:t xml:space="preserve"> </w:t>
            </w:r>
            <w:r>
              <w:rPr>
                <w:rFonts w:hint="eastAsia" w:ascii="宋体" w:hAnsi="宋体" w:cs="宋体"/>
                <w:color w:val="auto"/>
                <w:sz w:val="24"/>
                <w:szCs w:val="24"/>
                <w:u w:val="single"/>
                <w:lang w:eastAsia="zh-CN"/>
              </w:rPr>
              <w:t>岳阳</w:t>
            </w:r>
            <w:r>
              <w:rPr>
                <w:rFonts w:hint="eastAsia" w:ascii="宋体" w:hAnsi="宋体" w:cs="宋体"/>
                <w:color w:val="auto"/>
                <w:sz w:val="24"/>
                <w:szCs w:val="24"/>
                <w:u w:val="single"/>
                <w:lang w:val="en-US" w:eastAsia="zh-CN"/>
              </w:rPr>
              <w:t xml:space="preserve"> </w:t>
            </w:r>
            <w:r>
              <w:rPr>
                <w:rFonts w:hint="eastAsia" w:ascii="宋体" w:hAnsi="宋体" w:cs="宋体"/>
                <w:color w:val="auto"/>
                <w:sz w:val="24"/>
                <w:szCs w:val="24"/>
              </w:rPr>
              <w:t>市</w:t>
            </w:r>
            <w:r>
              <w:rPr>
                <w:rFonts w:hint="eastAsia" w:ascii="宋体" w:hAnsi="宋体" w:cs="宋体"/>
                <w:color w:val="auto"/>
                <w:sz w:val="24"/>
                <w:szCs w:val="24"/>
                <w:u w:val="single"/>
                <w:lang w:val="en-US" w:eastAsia="zh-CN"/>
              </w:rPr>
              <w:t>岳阳楼区洛王街道、金鹗山街道、枫桥湖街道、王家河街道等</w:t>
            </w:r>
            <w:r>
              <w:rPr>
                <w:rFonts w:ascii="宋体" w:hAnsi="宋体" w:cs="宋体"/>
                <w:color w:val="auto"/>
                <w:sz w:val="24"/>
                <w:szCs w:val="24"/>
                <w:u w:val="single"/>
              </w:rPr>
              <w:t xml:space="preserve"> </w:t>
            </w:r>
          </w:p>
        </w:tc>
      </w:tr>
      <w:tr w14:paraId="51955FC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014" w:hRule="atLeast"/>
          <w:jc w:val="center"/>
        </w:trPr>
        <w:tc>
          <w:tcPr>
            <w:tcW w:w="1169" w:type="dxa"/>
            <w:gridSpan w:val="3"/>
            <w:tcMar>
              <w:top w:w="16" w:type="dxa"/>
              <w:left w:w="16" w:type="dxa"/>
              <w:right w:w="16" w:type="dxa"/>
            </w:tcMar>
            <w:vAlign w:val="center"/>
          </w:tcPr>
          <w:p w14:paraId="2A567A39">
            <w:pPr>
              <w:adjustRightInd w:val="0"/>
              <w:snapToGrid w:val="0"/>
              <w:jc w:val="center"/>
              <w:rPr>
                <w:rFonts w:ascii="宋体" w:hAnsi="宋体" w:cs="宋体"/>
                <w:color w:val="auto"/>
                <w:sz w:val="24"/>
                <w:szCs w:val="24"/>
                <w:highlight w:val="none"/>
              </w:rPr>
            </w:pPr>
            <w:r>
              <w:rPr>
                <w:rFonts w:hint="eastAsia" w:ascii="宋体" w:hAnsi="宋体" w:cs="宋体"/>
                <w:color w:val="auto"/>
                <w:sz w:val="24"/>
                <w:szCs w:val="24"/>
                <w:highlight w:val="none"/>
              </w:rPr>
              <w:t>地理坐标</w:t>
            </w:r>
          </w:p>
        </w:tc>
        <w:tc>
          <w:tcPr>
            <w:tcW w:w="7701" w:type="dxa"/>
            <w:gridSpan w:val="4"/>
            <w:vAlign w:val="center"/>
          </w:tcPr>
          <w:p w14:paraId="26C982C2">
            <w:pPr>
              <w:jc w:val="left"/>
              <w:rPr>
                <w:rFonts w:hint="eastAsia" w:ascii="宋体" w:hAnsi="宋体" w:cs="宋体"/>
                <w:color w:val="auto"/>
                <w:sz w:val="24"/>
                <w:szCs w:val="24"/>
                <w:highlight w:val="none"/>
                <w:vertAlign w:val="baseline"/>
                <w:lang w:eastAsia="zh-CN"/>
              </w:rPr>
            </w:pPr>
            <w:r>
              <w:rPr>
                <w:rFonts w:hint="eastAsia" w:ascii="宋体" w:hAnsi="宋体" w:cs="宋体"/>
                <w:color w:val="auto"/>
                <w:sz w:val="24"/>
                <w:szCs w:val="24"/>
                <w:highlight w:val="none"/>
                <w:vertAlign w:val="baseline"/>
                <w:lang w:val="en-US" w:eastAsia="zh-CN"/>
              </w:rPr>
              <w:t>起点</w:t>
            </w:r>
            <w:r>
              <w:rPr>
                <w:rFonts w:hint="eastAsia" w:ascii="宋体" w:hAnsi="宋体" w:cs="宋体"/>
                <w:color w:val="auto"/>
                <w:sz w:val="24"/>
                <w:szCs w:val="24"/>
                <w:highlight w:val="none"/>
                <w:vertAlign w:val="baseline"/>
                <w:lang w:eastAsia="zh-CN"/>
              </w:rPr>
              <w:t>：</w:t>
            </w:r>
            <w:r>
              <w:rPr>
                <w:rFonts w:hint="eastAsia" w:ascii="宋体" w:hAnsi="宋体" w:cs="宋体"/>
                <w:color w:val="auto"/>
                <w:sz w:val="24"/>
                <w:szCs w:val="24"/>
                <w:highlight w:val="none"/>
                <w:vertAlign w:val="baseline"/>
                <w:lang w:val="en-US" w:eastAsia="zh-CN"/>
              </w:rPr>
              <w:t xml:space="preserve">E </w:t>
            </w:r>
            <w:r>
              <w:rPr>
                <w:rFonts w:hint="eastAsia" w:ascii="宋体" w:hAnsi="宋体" w:cs="宋体"/>
                <w:color w:val="auto"/>
                <w:sz w:val="24"/>
                <w:szCs w:val="24"/>
                <w:highlight w:val="none"/>
                <w:vertAlign w:val="baseline"/>
              </w:rPr>
              <w:t>113°08′06.751″</w:t>
            </w:r>
            <w:r>
              <w:rPr>
                <w:rFonts w:hint="eastAsia" w:ascii="宋体" w:hAnsi="宋体" w:cs="宋体"/>
                <w:color w:val="auto"/>
                <w:sz w:val="24"/>
                <w:szCs w:val="24"/>
                <w:highlight w:val="none"/>
                <w:vertAlign w:val="baseline"/>
                <w:lang w:eastAsia="zh-CN"/>
              </w:rPr>
              <w:t>，</w:t>
            </w:r>
            <w:r>
              <w:rPr>
                <w:rFonts w:hint="eastAsia" w:ascii="宋体" w:hAnsi="宋体" w:cs="宋体"/>
                <w:color w:val="auto"/>
                <w:sz w:val="24"/>
                <w:szCs w:val="24"/>
                <w:highlight w:val="none"/>
                <w:vertAlign w:val="baseline"/>
                <w:lang w:val="en-US" w:eastAsia="zh-CN"/>
              </w:rPr>
              <w:t xml:space="preserve">N 29°22′25.299″；终点：E </w:t>
            </w:r>
            <w:r>
              <w:rPr>
                <w:rFonts w:hint="eastAsia" w:ascii="宋体" w:hAnsi="宋体" w:cs="宋体"/>
                <w:color w:val="auto"/>
                <w:sz w:val="24"/>
                <w:szCs w:val="24"/>
                <w:highlight w:val="none"/>
                <w:vertAlign w:val="baseline"/>
              </w:rPr>
              <w:t>113°08′58.971″</w:t>
            </w:r>
            <w:r>
              <w:rPr>
                <w:rFonts w:hint="eastAsia" w:ascii="宋体" w:hAnsi="宋体" w:cs="宋体"/>
                <w:color w:val="auto"/>
                <w:sz w:val="24"/>
                <w:szCs w:val="24"/>
                <w:highlight w:val="none"/>
                <w:vertAlign w:val="baseline"/>
                <w:lang w:eastAsia="zh-CN"/>
              </w:rPr>
              <w:t>，</w:t>
            </w:r>
            <w:r>
              <w:rPr>
                <w:rFonts w:hint="eastAsia" w:ascii="宋体" w:hAnsi="宋体" w:cs="宋体"/>
                <w:color w:val="auto"/>
                <w:sz w:val="24"/>
                <w:szCs w:val="24"/>
                <w:highlight w:val="none"/>
                <w:vertAlign w:val="baseline"/>
                <w:lang w:val="en-US" w:eastAsia="zh-CN"/>
              </w:rPr>
              <w:t xml:space="preserve">N </w:t>
            </w:r>
            <w:r>
              <w:rPr>
                <w:rFonts w:hint="eastAsia" w:ascii="宋体" w:hAnsi="宋体" w:cs="宋体"/>
                <w:color w:val="auto"/>
                <w:sz w:val="24"/>
                <w:szCs w:val="24"/>
                <w:highlight w:val="none"/>
                <w:vertAlign w:val="baseline"/>
                <w:lang w:eastAsia="zh-CN"/>
              </w:rPr>
              <w:t>29°22′22.402″；</w:t>
            </w:r>
          </w:p>
          <w:p w14:paraId="4D28BBE1">
            <w:pPr>
              <w:jc w:val="left"/>
              <w:rPr>
                <w:rFonts w:hint="eastAsia" w:ascii="宋体" w:hAnsi="宋体" w:cs="宋体"/>
                <w:color w:val="auto"/>
                <w:sz w:val="24"/>
                <w:szCs w:val="24"/>
                <w:highlight w:val="none"/>
                <w:vertAlign w:val="baseline"/>
                <w:lang w:eastAsia="zh-CN"/>
              </w:rPr>
            </w:pPr>
            <w:r>
              <w:rPr>
                <w:rFonts w:hint="eastAsia" w:ascii="宋体" w:hAnsi="宋体" w:cs="宋体"/>
                <w:color w:val="auto"/>
                <w:sz w:val="24"/>
                <w:szCs w:val="24"/>
                <w:highlight w:val="none"/>
                <w:vertAlign w:val="baseline"/>
                <w:lang w:val="en-US" w:eastAsia="zh-CN"/>
              </w:rPr>
              <w:t xml:space="preserve">起点：E </w:t>
            </w:r>
            <w:r>
              <w:rPr>
                <w:rFonts w:hint="eastAsia" w:ascii="宋体" w:hAnsi="宋体" w:cs="宋体"/>
                <w:color w:val="auto"/>
                <w:sz w:val="24"/>
                <w:szCs w:val="24"/>
                <w:highlight w:val="none"/>
                <w:vertAlign w:val="baseline"/>
              </w:rPr>
              <w:t>113°11′16.278″</w:t>
            </w:r>
            <w:r>
              <w:rPr>
                <w:rFonts w:hint="eastAsia" w:ascii="宋体" w:hAnsi="宋体" w:cs="宋体"/>
                <w:color w:val="auto"/>
                <w:sz w:val="24"/>
                <w:szCs w:val="24"/>
                <w:highlight w:val="none"/>
                <w:vertAlign w:val="baseline"/>
                <w:lang w:eastAsia="zh-CN"/>
              </w:rPr>
              <w:t>，</w:t>
            </w:r>
            <w:r>
              <w:rPr>
                <w:rFonts w:hint="eastAsia" w:ascii="宋体" w:hAnsi="宋体" w:cs="宋体"/>
                <w:color w:val="auto"/>
                <w:sz w:val="24"/>
                <w:szCs w:val="24"/>
                <w:highlight w:val="none"/>
                <w:vertAlign w:val="baseline"/>
                <w:lang w:val="en-US" w:eastAsia="zh-CN"/>
              </w:rPr>
              <w:t xml:space="preserve">N </w:t>
            </w:r>
            <w:r>
              <w:rPr>
                <w:rFonts w:hint="eastAsia" w:ascii="宋体" w:hAnsi="宋体" w:cs="宋体"/>
                <w:color w:val="auto"/>
                <w:sz w:val="24"/>
                <w:szCs w:val="24"/>
                <w:highlight w:val="none"/>
                <w:vertAlign w:val="baseline"/>
                <w:lang w:eastAsia="zh-CN"/>
              </w:rPr>
              <w:t>29°25′57.382″；</w:t>
            </w:r>
            <w:r>
              <w:rPr>
                <w:rFonts w:hint="eastAsia" w:ascii="宋体" w:hAnsi="宋体" w:cs="宋体"/>
                <w:color w:val="auto"/>
                <w:sz w:val="24"/>
                <w:szCs w:val="24"/>
                <w:highlight w:val="none"/>
                <w:vertAlign w:val="baseline"/>
                <w:lang w:val="en-US" w:eastAsia="zh-CN"/>
              </w:rPr>
              <w:t xml:space="preserve">终点：E </w:t>
            </w:r>
            <w:r>
              <w:rPr>
                <w:rFonts w:hint="eastAsia" w:ascii="宋体" w:hAnsi="宋体" w:cs="宋体"/>
                <w:color w:val="auto"/>
                <w:sz w:val="24"/>
                <w:szCs w:val="24"/>
                <w:highlight w:val="none"/>
                <w:vertAlign w:val="baseline"/>
              </w:rPr>
              <w:t>113°12′12.128″</w:t>
            </w:r>
            <w:r>
              <w:rPr>
                <w:rFonts w:hint="eastAsia" w:ascii="宋体" w:hAnsi="宋体" w:cs="宋体"/>
                <w:color w:val="auto"/>
                <w:sz w:val="24"/>
                <w:szCs w:val="24"/>
                <w:highlight w:val="none"/>
                <w:vertAlign w:val="baseline"/>
                <w:lang w:eastAsia="zh-CN"/>
              </w:rPr>
              <w:t>，</w:t>
            </w:r>
            <w:r>
              <w:rPr>
                <w:rFonts w:hint="eastAsia" w:ascii="宋体" w:hAnsi="宋体" w:cs="宋体"/>
                <w:color w:val="auto"/>
                <w:sz w:val="24"/>
                <w:szCs w:val="24"/>
                <w:highlight w:val="none"/>
                <w:vertAlign w:val="baseline"/>
                <w:lang w:val="en-US" w:eastAsia="zh-CN"/>
              </w:rPr>
              <w:t xml:space="preserve">N </w:t>
            </w:r>
            <w:r>
              <w:rPr>
                <w:rFonts w:hint="eastAsia" w:ascii="宋体" w:hAnsi="宋体" w:cs="宋体"/>
                <w:color w:val="auto"/>
                <w:sz w:val="24"/>
                <w:szCs w:val="24"/>
                <w:highlight w:val="none"/>
                <w:vertAlign w:val="baseline"/>
                <w:lang w:eastAsia="zh-CN"/>
              </w:rPr>
              <w:t>29°25′01.378″；</w:t>
            </w:r>
          </w:p>
          <w:p w14:paraId="75035A05">
            <w:pPr>
              <w:jc w:val="left"/>
              <w:rPr>
                <w:rFonts w:hint="eastAsia" w:ascii="宋体" w:hAnsi="宋体" w:cs="宋体"/>
                <w:color w:val="auto"/>
                <w:sz w:val="24"/>
                <w:szCs w:val="24"/>
                <w:highlight w:val="none"/>
                <w:vertAlign w:val="baseline"/>
                <w:lang w:eastAsia="zh-CN"/>
              </w:rPr>
            </w:pPr>
            <w:r>
              <w:rPr>
                <w:rFonts w:hint="eastAsia" w:ascii="宋体" w:hAnsi="宋体" w:cs="宋体"/>
                <w:color w:val="auto"/>
                <w:sz w:val="24"/>
                <w:szCs w:val="24"/>
                <w:highlight w:val="none"/>
                <w:vertAlign w:val="baseline"/>
                <w:lang w:val="en-US" w:eastAsia="zh-CN"/>
              </w:rPr>
              <w:t>起点</w:t>
            </w:r>
            <w:r>
              <w:rPr>
                <w:rFonts w:hint="eastAsia" w:ascii="宋体" w:hAnsi="宋体" w:cs="宋体"/>
                <w:color w:val="auto"/>
                <w:sz w:val="24"/>
                <w:szCs w:val="24"/>
                <w:highlight w:val="none"/>
                <w:vertAlign w:val="baseline"/>
                <w:lang w:eastAsia="zh-CN"/>
              </w:rPr>
              <w:t>：</w:t>
            </w:r>
            <w:r>
              <w:rPr>
                <w:rFonts w:hint="eastAsia" w:ascii="宋体" w:hAnsi="宋体" w:cs="宋体"/>
                <w:color w:val="auto"/>
                <w:sz w:val="24"/>
                <w:szCs w:val="24"/>
                <w:highlight w:val="none"/>
                <w:vertAlign w:val="baseline"/>
                <w:lang w:val="en-US" w:eastAsia="zh-CN"/>
              </w:rPr>
              <w:t xml:space="preserve">E </w:t>
            </w:r>
            <w:r>
              <w:rPr>
                <w:rFonts w:hint="eastAsia" w:ascii="宋体" w:hAnsi="宋体" w:cs="宋体"/>
                <w:color w:val="auto"/>
                <w:sz w:val="24"/>
                <w:szCs w:val="24"/>
                <w:highlight w:val="none"/>
                <w:vertAlign w:val="baseline"/>
              </w:rPr>
              <w:t>113°08′25.484″</w:t>
            </w:r>
            <w:r>
              <w:rPr>
                <w:rFonts w:hint="eastAsia" w:ascii="宋体" w:hAnsi="宋体" w:cs="宋体"/>
                <w:color w:val="auto"/>
                <w:sz w:val="24"/>
                <w:szCs w:val="24"/>
                <w:highlight w:val="none"/>
                <w:vertAlign w:val="baseline"/>
                <w:lang w:eastAsia="zh-CN"/>
              </w:rPr>
              <w:t>，</w:t>
            </w:r>
            <w:r>
              <w:rPr>
                <w:rFonts w:hint="eastAsia" w:ascii="宋体" w:hAnsi="宋体" w:cs="宋体"/>
                <w:color w:val="auto"/>
                <w:sz w:val="24"/>
                <w:szCs w:val="24"/>
                <w:highlight w:val="none"/>
                <w:vertAlign w:val="baseline"/>
                <w:lang w:val="en-US" w:eastAsia="zh-CN"/>
              </w:rPr>
              <w:t xml:space="preserve">N </w:t>
            </w:r>
            <w:r>
              <w:rPr>
                <w:rFonts w:hint="eastAsia" w:ascii="宋体" w:hAnsi="宋体" w:cs="宋体"/>
                <w:color w:val="auto"/>
                <w:sz w:val="24"/>
                <w:szCs w:val="24"/>
                <w:highlight w:val="none"/>
                <w:vertAlign w:val="baseline"/>
                <w:lang w:eastAsia="zh-CN"/>
              </w:rPr>
              <w:t>29°18′54.220″；</w:t>
            </w:r>
            <w:r>
              <w:rPr>
                <w:rFonts w:hint="eastAsia" w:ascii="宋体" w:hAnsi="宋体" w:cs="宋体"/>
                <w:color w:val="auto"/>
                <w:sz w:val="24"/>
                <w:szCs w:val="24"/>
                <w:highlight w:val="none"/>
                <w:vertAlign w:val="baseline"/>
                <w:lang w:val="en-US" w:eastAsia="zh-CN"/>
              </w:rPr>
              <w:t xml:space="preserve">终点：E </w:t>
            </w:r>
            <w:r>
              <w:rPr>
                <w:rFonts w:hint="eastAsia" w:ascii="宋体" w:hAnsi="宋体" w:cs="宋体"/>
                <w:color w:val="auto"/>
                <w:sz w:val="24"/>
                <w:szCs w:val="24"/>
                <w:highlight w:val="none"/>
                <w:vertAlign w:val="baseline"/>
              </w:rPr>
              <w:t>113°09′58.181″</w:t>
            </w:r>
            <w:r>
              <w:rPr>
                <w:rFonts w:hint="eastAsia" w:ascii="宋体" w:hAnsi="宋体" w:cs="宋体"/>
                <w:color w:val="auto"/>
                <w:sz w:val="24"/>
                <w:szCs w:val="24"/>
                <w:highlight w:val="none"/>
                <w:vertAlign w:val="baseline"/>
                <w:lang w:eastAsia="zh-CN"/>
              </w:rPr>
              <w:t>，</w:t>
            </w:r>
            <w:r>
              <w:rPr>
                <w:rFonts w:hint="eastAsia" w:ascii="宋体" w:hAnsi="宋体" w:cs="宋体"/>
                <w:color w:val="auto"/>
                <w:sz w:val="24"/>
                <w:szCs w:val="24"/>
                <w:highlight w:val="none"/>
                <w:vertAlign w:val="baseline"/>
                <w:lang w:val="en-US" w:eastAsia="zh-CN"/>
              </w:rPr>
              <w:t xml:space="preserve">N </w:t>
            </w:r>
            <w:r>
              <w:rPr>
                <w:rFonts w:hint="eastAsia" w:ascii="宋体" w:hAnsi="宋体" w:cs="宋体"/>
                <w:color w:val="auto"/>
                <w:sz w:val="24"/>
                <w:szCs w:val="24"/>
                <w:highlight w:val="none"/>
                <w:vertAlign w:val="baseline"/>
                <w:lang w:eastAsia="zh-CN"/>
              </w:rPr>
              <w:t>29°17′57.984″；</w:t>
            </w:r>
          </w:p>
          <w:p w14:paraId="115C9FD3">
            <w:pPr>
              <w:jc w:val="left"/>
              <w:rPr>
                <w:rFonts w:hint="eastAsia" w:ascii="宋体" w:hAnsi="宋体" w:cs="宋体"/>
                <w:color w:val="auto"/>
                <w:sz w:val="24"/>
                <w:szCs w:val="24"/>
                <w:highlight w:val="none"/>
              </w:rPr>
            </w:pPr>
            <w:r>
              <w:rPr>
                <w:rFonts w:hint="eastAsia" w:ascii="宋体" w:hAnsi="宋体" w:cs="宋体"/>
                <w:color w:val="auto"/>
                <w:sz w:val="24"/>
                <w:szCs w:val="24"/>
                <w:highlight w:val="none"/>
                <w:vertAlign w:val="baseline"/>
                <w:lang w:val="en-US" w:eastAsia="zh-CN"/>
              </w:rPr>
              <w:t>起点</w:t>
            </w:r>
            <w:r>
              <w:rPr>
                <w:rFonts w:hint="eastAsia" w:ascii="宋体" w:hAnsi="宋体" w:cs="宋体"/>
                <w:color w:val="auto"/>
                <w:sz w:val="24"/>
                <w:szCs w:val="24"/>
                <w:highlight w:val="none"/>
                <w:vertAlign w:val="baseline"/>
                <w:lang w:eastAsia="zh-CN"/>
              </w:rPr>
              <w:t>：</w:t>
            </w:r>
            <w:r>
              <w:rPr>
                <w:rFonts w:hint="eastAsia" w:ascii="宋体" w:hAnsi="宋体" w:cs="宋体"/>
                <w:color w:val="auto"/>
                <w:sz w:val="24"/>
                <w:szCs w:val="24"/>
                <w:highlight w:val="none"/>
                <w:vertAlign w:val="baseline"/>
                <w:lang w:val="en-US" w:eastAsia="zh-CN"/>
              </w:rPr>
              <w:t xml:space="preserve">E </w:t>
            </w:r>
            <w:r>
              <w:rPr>
                <w:rFonts w:hint="eastAsia" w:ascii="宋体" w:hAnsi="宋体" w:cs="宋体"/>
                <w:color w:val="auto"/>
                <w:sz w:val="24"/>
                <w:szCs w:val="24"/>
                <w:highlight w:val="none"/>
                <w:vertAlign w:val="baseline"/>
              </w:rPr>
              <w:t>113°06′30.076″</w:t>
            </w:r>
            <w:r>
              <w:rPr>
                <w:rFonts w:hint="eastAsia" w:ascii="宋体" w:hAnsi="宋体" w:cs="宋体"/>
                <w:color w:val="auto"/>
                <w:sz w:val="24"/>
                <w:szCs w:val="24"/>
                <w:highlight w:val="none"/>
                <w:vertAlign w:val="baseline"/>
                <w:lang w:eastAsia="zh-CN"/>
              </w:rPr>
              <w:t>，</w:t>
            </w:r>
            <w:r>
              <w:rPr>
                <w:rFonts w:hint="eastAsia" w:ascii="宋体" w:hAnsi="宋体" w:cs="宋体"/>
                <w:color w:val="auto"/>
                <w:sz w:val="24"/>
                <w:szCs w:val="24"/>
                <w:highlight w:val="none"/>
                <w:vertAlign w:val="baseline"/>
                <w:lang w:val="en-US" w:eastAsia="zh-CN"/>
              </w:rPr>
              <w:t xml:space="preserve">N </w:t>
            </w:r>
            <w:r>
              <w:rPr>
                <w:rFonts w:hint="eastAsia" w:ascii="宋体" w:hAnsi="宋体" w:cs="宋体"/>
                <w:color w:val="auto"/>
                <w:sz w:val="24"/>
                <w:szCs w:val="24"/>
                <w:highlight w:val="none"/>
                <w:vertAlign w:val="baseline"/>
                <w:lang w:eastAsia="zh-CN"/>
              </w:rPr>
              <w:t>29°16′46.761″；</w:t>
            </w:r>
            <w:r>
              <w:rPr>
                <w:rFonts w:hint="eastAsia" w:ascii="宋体" w:hAnsi="宋体" w:cs="宋体"/>
                <w:color w:val="auto"/>
                <w:sz w:val="24"/>
                <w:szCs w:val="24"/>
                <w:highlight w:val="none"/>
                <w:vertAlign w:val="baseline"/>
                <w:lang w:val="en-US" w:eastAsia="zh-CN"/>
              </w:rPr>
              <w:t xml:space="preserve">终点：E </w:t>
            </w:r>
            <w:r>
              <w:rPr>
                <w:rFonts w:hint="eastAsia" w:ascii="宋体" w:hAnsi="宋体" w:cs="宋体"/>
                <w:color w:val="auto"/>
                <w:sz w:val="24"/>
                <w:szCs w:val="24"/>
                <w:highlight w:val="none"/>
                <w:vertAlign w:val="baseline"/>
              </w:rPr>
              <w:t>113°09′08.588″</w:t>
            </w:r>
            <w:r>
              <w:rPr>
                <w:rFonts w:hint="eastAsia" w:ascii="宋体" w:hAnsi="宋体" w:cs="宋体"/>
                <w:color w:val="auto"/>
                <w:sz w:val="24"/>
                <w:szCs w:val="24"/>
                <w:highlight w:val="none"/>
                <w:vertAlign w:val="baseline"/>
                <w:lang w:eastAsia="zh-CN"/>
              </w:rPr>
              <w:t>，</w:t>
            </w:r>
            <w:r>
              <w:rPr>
                <w:rFonts w:hint="eastAsia" w:ascii="宋体" w:hAnsi="宋体" w:cs="宋体"/>
                <w:color w:val="auto"/>
                <w:sz w:val="24"/>
                <w:szCs w:val="24"/>
                <w:highlight w:val="none"/>
                <w:vertAlign w:val="baseline"/>
                <w:lang w:val="en-US" w:eastAsia="zh-CN"/>
              </w:rPr>
              <w:t xml:space="preserve">N </w:t>
            </w:r>
            <w:r>
              <w:rPr>
                <w:rFonts w:hint="eastAsia" w:ascii="宋体" w:hAnsi="宋体" w:cs="宋体"/>
                <w:color w:val="auto"/>
                <w:sz w:val="24"/>
                <w:szCs w:val="24"/>
                <w:highlight w:val="none"/>
                <w:vertAlign w:val="baseline"/>
                <w:lang w:eastAsia="zh-CN"/>
              </w:rPr>
              <w:t>29°14′50.272″等</w:t>
            </w:r>
          </w:p>
        </w:tc>
      </w:tr>
      <w:tr w14:paraId="63B09B0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13" w:hRule="atLeast"/>
          <w:jc w:val="center"/>
        </w:trPr>
        <w:tc>
          <w:tcPr>
            <w:tcW w:w="1169" w:type="dxa"/>
            <w:gridSpan w:val="3"/>
            <w:tcMar>
              <w:top w:w="16" w:type="dxa"/>
              <w:left w:w="16" w:type="dxa"/>
              <w:right w:w="16" w:type="dxa"/>
            </w:tcMar>
            <w:vAlign w:val="center"/>
          </w:tcPr>
          <w:p w14:paraId="6BE4A5BB">
            <w:pPr>
              <w:adjustRightInd w:val="0"/>
              <w:snapToGrid w:val="0"/>
              <w:jc w:val="center"/>
              <w:rPr>
                <w:rFonts w:hint="eastAsia" w:ascii="宋体" w:hAnsi="宋体" w:cs="宋体"/>
                <w:color w:val="auto"/>
                <w:sz w:val="24"/>
                <w:szCs w:val="24"/>
              </w:rPr>
            </w:pPr>
            <w:r>
              <w:rPr>
                <w:rFonts w:hint="eastAsia" w:ascii="宋体" w:hAnsi="宋体" w:cs="宋体"/>
                <w:color w:val="auto"/>
                <w:sz w:val="24"/>
                <w:szCs w:val="24"/>
              </w:rPr>
              <w:t>建设项目</w:t>
            </w:r>
          </w:p>
          <w:p w14:paraId="124AE838">
            <w:pPr>
              <w:adjustRightInd w:val="0"/>
              <w:snapToGrid w:val="0"/>
              <w:jc w:val="center"/>
              <w:rPr>
                <w:rFonts w:ascii="宋体" w:hAnsi="宋体" w:cs="宋体"/>
                <w:color w:val="auto"/>
                <w:sz w:val="24"/>
                <w:szCs w:val="24"/>
              </w:rPr>
            </w:pPr>
            <w:r>
              <w:rPr>
                <w:rFonts w:hint="eastAsia" w:ascii="宋体" w:hAnsi="宋体" w:cs="宋体"/>
                <w:color w:val="auto"/>
                <w:sz w:val="24"/>
                <w:szCs w:val="24"/>
              </w:rPr>
              <w:t>行业类别</w:t>
            </w:r>
          </w:p>
        </w:tc>
        <w:tc>
          <w:tcPr>
            <w:tcW w:w="3389" w:type="dxa"/>
            <w:vAlign w:val="center"/>
          </w:tcPr>
          <w:p w14:paraId="62202A0E">
            <w:pPr>
              <w:adjustRightInd w:val="0"/>
              <w:snapToGrid w:val="0"/>
              <w:jc w:val="center"/>
              <w:rPr>
                <w:rFonts w:hint="default" w:ascii="宋体" w:hAnsi="宋体" w:cs="宋体"/>
                <w:color w:val="auto"/>
                <w:sz w:val="24"/>
                <w:szCs w:val="24"/>
                <w:lang w:val="en-US" w:eastAsia="zh-CN"/>
              </w:rPr>
            </w:pPr>
            <w:r>
              <w:rPr>
                <w:rFonts w:hint="default" w:ascii="宋体" w:hAnsi="宋体" w:eastAsia="宋体" w:cs="宋体"/>
                <w:color w:val="auto"/>
                <w:sz w:val="24"/>
                <w:szCs w:val="24"/>
                <w:lang w:val="en-US" w:eastAsia="zh-CN"/>
              </w:rPr>
              <w:t>五十一</w:t>
            </w:r>
            <w:r>
              <w:rPr>
                <w:rFonts w:hint="eastAsia" w:ascii="宋体" w:hAnsi="宋体" w:cs="宋体"/>
                <w:color w:val="auto"/>
                <w:sz w:val="24"/>
                <w:szCs w:val="24"/>
                <w:lang w:val="en-US" w:eastAsia="zh-CN"/>
              </w:rPr>
              <w:t>、</w:t>
            </w:r>
            <w:r>
              <w:rPr>
                <w:rFonts w:hint="default" w:ascii="宋体" w:hAnsi="宋体" w:eastAsia="宋体" w:cs="宋体"/>
                <w:color w:val="auto"/>
                <w:sz w:val="24"/>
                <w:szCs w:val="24"/>
                <w:lang w:val="en-US" w:eastAsia="zh-CN"/>
              </w:rPr>
              <w:t>水利12</w:t>
            </w:r>
            <w:r>
              <w:rPr>
                <w:rFonts w:hint="eastAsia" w:ascii="宋体" w:hAnsi="宋体" w:cs="宋体"/>
                <w:color w:val="auto"/>
                <w:sz w:val="24"/>
                <w:szCs w:val="24"/>
                <w:lang w:val="en-US" w:eastAsia="zh-CN"/>
              </w:rPr>
              <w:t>7</w:t>
            </w:r>
            <w:r>
              <w:rPr>
                <w:rFonts w:hint="default" w:ascii="宋体" w:hAnsi="宋体" w:eastAsia="宋体" w:cs="宋体"/>
                <w:color w:val="auto"/>
                <w:sz w:val="24"/>
                <w:szCs w:val="24"/>
                <w:lang w:val="en-US" w:eastAsia="zh-CN"/>
              </w:rPr>
              <w:t xml:space="preserve"> </w:t>
            </w:r>
            <w:r>
              <w:rPr>
                <w:rFonts w:hint="eastAsia" w:ascii="宋体" w:hAnsi="宋体" w:cs="宋体"/>
                <w:color w:val="auto"/>
                <w:sz w:val="24"/>
                <w:szCs w:val="24"/>
                <w:lang w:val="en-US" w:eastAsia="zh-CN"/>
              </w:rPr>
              <w:t>防洪除涝</w:t>
            </w:r>
            <w:r>
              <w:rPr>
                <w:rFonts w:hint="default" w:ascii="宋体" w:hAnsi="宋体" w:eastAsia="宋体" w:cs="宋体"/>
                <w:color w:val="auto"/>
                <w:sz w:val="24"/>
                <w:szCs w:val="24"/>
                <w:lang w:val="en-US" w:eastAsia="zh-CN"/>
              </w:rPr>
              <w:t>工程</w:t>
            </w:r>
          </w:p>
        </w:tc>
        <w:tc>
          <w:tcPr>
            <w:tcW w:w="1561" w:type="dxa"/>
            <w:vAlign w:val="center"/>
          </w:tcPr>
          <w:p w14:paraId="2F0F9C71">
            <w:pPr>
              <w:adjustRightInd w:val="0"/>
              <w:snapToGrid w:val="0"/>
              <w:jc w:val="center"/>
              <w:rPr>
                <w:rFonts w:ascii="宋体" w:hAnsi="宋体" w:cs="宋体"/>
                <w:color w:val="auto"/>
                <w:sz w:val="24"/>
                <w:szCs w:val="24"/>
              </w:rPr>
            </w:pPr>
            <w:r>
              <w:rPr>
                <w:rFonts w:hint="eastAsia" w:ascii="宋体" w:hAnsi="宋体" w:cs="宋体"/>
                <w:color w:val="auto"/>
                <w:sz w:val="24"/>
                <w:szCs w:val="24"/>
              </w:rPr>
              <w:t>用地（用海）面积（m</w:t>
            </w:r>
            <w:r>
              <w:rPr>
                <w:rFonts w:hint="eastAsia" w:ascii="宋体" w:hAnsi="宋体" w:cs="宋体"/>
                <w:color w:val="auto"/>
                <w:sz w:val="24"/>
                <w:szCs w:val="24"/>
                <w:vertAlign w:val="superscript"/>
              </w:rPr>
              <w:t>2</w:t>
            </w:r>
            <w:r>
              <w:rPr>
                <w:rFonts w:hint="eastAsia" w:ascii="宋体" w:hAnsi="宋体" w:cs="宋体"/>
                <w:color w:val="auto"/>
                <w:sz w:val="24"/>
                <w:szCs w:val="24"/>
              </w:rPr>
              <w:t>）/长度（km）</w:t>
            </w:r>
          </w:p>
        </w:tc>
        <w:tc>
          <w:tcPr>
            <w:tcW w:w="2751" w:type="dxa"/>
            <w:gridSpan w:val="2"/>
            <w:vAlign w:val="center"/>
          </w:tcPr>
          <w:p w14:paraId="5106E982">
            <w:pPr>
              <w:adjustRightInd w:val="0"/>
              <w:snapToGrid w:val="0"/>
              <w:jc w:val="center"/>
              <w:rPr>
                <w:rFonts w:hint="default" w:ascii="宋体" w:hAnsi="宋体" w:cs="宋体"/>
                <w:color w:val="auto"/>
                <w:sz w:val="24"/>
                <w:szCs w:val="24"/>
                <w:lang w:val="en-US" w:eastAsia="zh-CN"/>
              </w:rPr>
            </w:pPr>
            <w:r>
              <w:rPr>
                <w:rFonts w:hint="default" w:ascii="宋体" w:hAnsi="宋体" w:cs="宋体"/>
                <w:color w:val="auto"/>
                <w:sz w:val="24"/>
                <w:szCs w:val="24"/>
                <w:lang w:val="en-US" w:eastAsia="zh-CN"/>
              </w:rPr>
              <w:t>新增永久占地0km</w:t>
            </w:r>
            <w:r>
              <w:rPr>
                <w:rFonts w:hint="default" w:ascii="宋体" w:hAnsi="宋体" w:cs="宋体"/>
                <w:color w:val="auto"/>
                <w:sz w:val="24"/>
                <w:szCs w:val="24"/>
                <w:vertAlign w:val="superscript"/>
                <w:lang w:val="en-US" w:eastAsia="zh-CN"/>
              </w:rPr>
              <w:t>2</w:t>
            </w:r>
            <w:r>
              <w:rPr>
                <w:rFonts w:hint="default" w:ascii="宋体" w:hAnsi="宋体" w:cs="宋体"/>
                <w:color w:val="auto"/>
                <w:sz w:val="24"/>
                <w:szCs w:val="24"/>
                <w:lang w:val="en-US" w:eastAsia="zh-CN"/>
              </w:rPr>
              <w:t>，临时占地</w:t>
            </w:r>
            <w:r>
              <w:rPr>
                <w:rFonts w:hint="eastAsia" w:ascii="宋体" w:hAnsi="宋体" w:cs="宋体"/>
                <w:color w:val="auto"/>
                <w:sz w:val="24"/>
                <w:szCs w:val="24"/>
                <w:lang w:val="en-US" w:eastAsia="zh-CN"/>
              </w:rPr>
              <w:t>3.0h</w:t>
            </w:r>
            <w:r>
              <w:rPr>
                <w:rFonts w:hint="default" w:ascii="宋体" w:hAnsi="宋体" w:cs="宋体"/>
                <w:color w:val="auto"/>
                <w:sz w:val="24"/>
                <w:szCs w:val="24"/>
                <w:lang w:val="en-US" w:eastAsia="zh-CN"/>
              </w:rPr>
              <w:t>m</w:t>
            </w:r>
            <w:r>
              <w:rPr>
                <w:rFonts w:hint="default" w:ascii="宋体" w:hAnsi="宋体" w:cs="宋体"/>
                <w:color w:val="auto"/>
                <w:sz w:val="24"/>
                <w:szCs w:val="24"/>
                <w:vertAlign w:val="superscript"/>
                <w:lang w:val="en-US" w:eastAsia="zh-CN"/>
              </w:rPr>
              <w:t>2</w:t>
            </w:r>
          </w:p>
        </w:tc>
      </w:tr>
      <w:tr w14:paraId="685DEC0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219" w:hRule="atLeast"/>
          <w:jc w:val="center"/>
        </w:trPr>
        <w:tc>
          <w:tcPr>
            <w:tcW w:w="1169" w:type="dxa"/>
            <w:gridSpan w:val="3"/>
            <w:tcMar>
              <w:top w:w="16" w:type="dxa"/>
              <w:left w:w="16" w:type="dxa"/>
              <w:right w:w="16" w:type="dxa"/>
            </w:tcMar>
            <w:vAlign w:val="center"/>
          </w:tcPr>
          <w:p w14:paraId="21A05B79">
            <w:pPr>
              <w:adjustRightInd w:val="0"/>
              <w:snapToGrid w:val="0"/>
              <w:jc w:val="center"/>
              <w:rPr>
                <w:rFonts w:ascii="宋体" w:hAnsi="宋体" w:cs="宋体"/>
                <w:color w:val="auto"/>
                <w:sz w:val="24"/>
                <w:szCs w:val="24"/>
              </w:rPr>
            </w:pPr>
            <w:r>
              <w:rPr>
                <w:rFonts w:hint="eastAsia" w:ascii="宋体" w:hAnsi="宋体" w:cs="宋体"/>
                <w:color w:val="auto"/>
                <w:sz w:val="24"/>
                <w:szCs w:val="24"/>
              </w:rPr>
              <w:t>建设性质</w:t>
            </w:r>
          </w:p>
        </w:tc>
        <w:tc>
          <w:tcPr>
            <w:tcW w:w="3389" w:type="dxa"/>
            <w:vAlign w:val="center"/>
          </w:tcPr>
          <w:p w14:paraId="1759420D">
            <w:pPr>
              <w:jc w:val="left"/>
              <w:rPr>
                <w:rFonts w:ascii="宋体" w:hAnsi="宋体" w:cs="宋体"/>
                <w:color w:val="auto"/>
                <w:sz w:val="24"/>
                <w:szCs w:val="24"/>
              </w:rPr>
            </w:pPr>
            <w:r>
              <w:rPr>
                <w:rFonts w:hint="eastAsia" w:ascii="宋体" w:hAnsi="宋体" w:cs="宋体"/>
                <w:color w:val="auto"/>
                <w:sz w:val="24"/>
                <w:szCs w:val="24"/>
              </w:rPr>
              <w:sym w:font="Wingdings 2" w:char="00A3"/>
            </w:r>
            <w:r>
              <w:rPr>
                <w:rFonts w:hint="eastAsia" w:ascii="宋体" w:hAnsi="宋体" w:cs="宋体"/>
                <w:color w:val="auto"/>
                <w:sz w:val="24"/>
                <w:szCs w:val="24"/>
              </w:rPr>
              <w:t>新建（迁建）</w:t>
            </w:r>
          </w:p>
          <w:p w14:paraId="7438C27F">
            <w:pPr>
              <w:jc w:val="left"/>
              <w:rPr>
                <w:rFonts w:hint="eastAsia" w:ascii="宋体" w:hAnsi="宋体" w:cs="宋体"/>
                <w:color w:val="auto"/>
                <w:sz w:val="24"/>
                <w:szCs w:val="24"/>
              </w:rPr>
            </w:pPr>
            <w:r>
              <w:rPr>
                <w:rFonts w:hint="eastAsia" w:ascii="宋体" w:hAnsi="宋体" w:cs="宋体"/>
                <w:color w:val="auto"/>
                <w:sz w:val="24"/>
                <w:szCs w:val="24"/>
                <w:lang w:eastAsia="zh-CN"/>
              </w:rPr>
              <w:t>☑</w:t>
            </w:r>
            <w:r>
              <w:rPr>
                <w:rFonts w:hint="eastAsia" w:ascii="宋体" w:hAnsi="宋体" w:cs="宋体"/>
                <w:color w:val="auto"/>
                <w:sz w:val="24"/>
                <w:szCs w:val="24"/>
              </w:rPr>
              <w:t>改建</w:t>
            </w:r>
          </w:p>
          <w:p w14:paraId="682C0623">
            <w:pPr>
              <w:jc w:val="left"/>
              <w:rPr>
                <w:rFonts w:hint="eastAsia" w:ascii="宋体" w:hAnsi="宋体" w:cs="宋体"/>
                <w:color w:val="auto"/>
                <w:sz w:val="24"/>
                <w:szCs w:val="24"/>
              </w:rPr>
            </w:pPr>
            <w:r>
              <w:rPr>
                <w:rFonts w:hint="eastAsia" w:ascii="宋体" w:hAnsi="宋体" w:cs="宋体"/>
                <w:color w:val="auto"/>
                <w:sz w:val="24"/>
                <w:szCs w:val="24"/>
              </w:rPr>
              <w:sym w:font="Wingdings 2" w:char="00A3"/>
            </w:r>
            <w:r>
              <w:rPr>
                <w:rFonts w:hint="eastAsia" w:ascii="宋体" w:hAnsi="宋体" w:cs="宋体"/>
                <w:color w:val="auto"/>
                <w:sz w:val="24"/>
                <w:szCs w:val="24"/>
              </w:rPr>
              <w:t>扩建</w:t>
            </w:r>
          </w:p>
          <w:p w14:paraId="0426AAD4">
            <w:pPr>
              <w:jc w:val="left"/>
              <w:rPr>
                <w:rFonts w:ascii="宋体" w:hAnsi="宋体" w:cs="宋体"/>
                <w:color w:val="auto"/>
                <w:sz w:val="24"/>
                <w:szCs w:val="24"/>
              </w:rPr>
            </w:pPr>
            <w:r>
              <w:rPr>
                <w:rFonts w:hint="eastAsia" w:ascii="宋体" w:hAnsi="宋体" w:cs="宋体"/>
                <w:color w:val="auto"/>
                <w:sz w:val="24"/>
                <w:szCs w:val="24"/>
              </w:rPr>
              <w:sym w:font="Wingdings 2" w:char="00A3"/>
            </w:r>
            <w:r>
              <w:rPr>
                <w:rFonts w:hint="eastAsia" w:ascii="宋体" w:hAnsi="宋体" w:cs="宋体"/>
                <w:color w:val="auto"/>
                <w:sz w:val="24"/>
                <w:szCs w:val="24"/>
              </w:rPr>
              <w:t>技术改造</w:t>
            </w:r>
          </w:p>
        </w:tc>
        <w:tc>
          <w:tcPr>
            <w:tcW w:w="1561" w:type="dxa"/>
            <w:vAlign w:val="center"/>
          </w:tcPr>
          <w:p w14:paraId="4CC247D1">
            <w:pPr>
              <w:adjustRightInd w:val="0"/>
              <w:snapToGrid w:val="0"/>
              <w:jc w:val="center"/>
              <w:rPr>
                <w:rFonts w:hint="eastAsia" w:ascii="宋体" w:hAnsi="宋体" w:cs="宋体"/>
                <w:color w:val="auto"/>
                <w:sz w:val="24"/>
                <w:szCs w:val="24"/>
              </w:rPr>
            </w:pPr>
            <w:r>
              <w:rPr>
                <w:rFonts w:hint="eastAsia" w:ascii="宋体" w:hAnsi="宋体" w:cs="宋体"/>
                <w:color w:val="auto"/>
                <w:sz w:val="24"/>
                <w:szCs w:val="24"/>
              </w:rPr>
              <w:t>建设项目</w:t>
            </w:r>
          </w:p>
          <w:p w14:paraId="2D4BED1C">
            <w:pPr>
              <w:adjustRightInd w:val="0"/>
              <w:snapToGrid w:val="0"/>
              <w:jc w:val="center"/>
              <w:rPr>
                <w:rFonts w:ascii="宋体" w:hAnsi="宋体" w:cs="宋体"/>
                <w:color w:val="auto"/>
                <w:sz w:val="24"/>
                <w:szCs w:val="24"/>
              </w:rPr>
            </w:pPr>
            <w:r>
              <w:rPr>
                <w:rFonts w:hint="eastAsia" w:ascii="宋体" w:hAnsi="宋体" w:cs="宋体"/>
                <w:color w:val="auto"/>
                <w:sz w:val="24"/>
                <w:szCs w:val="24"/>
              </w:rPr>
              <w:t>申报情形</w:t>
            </w:r>
          </w:p>
        </w:tc>
        <w:tc>
          <w:tcPr>
            <w:tcW w:w="2751" w:type="dxa"/>
            <w:gridSpan w:val="2"/>
            <w:vAlign w:val="center"/>
          </w:tcPr>
          <w:p w14:paraId="2F12F55D">
            <w:pPr>
              <w:jc w:val="left"/>
              <w:rPr>
                <w:rFonts w:ascii="宋体" w:hAnsi="宋体" w:cs="宋体"/>
                <w:color w:val="auto"/>
                <w:sz w:val="24"/>
                <w:szCs w:val="24"/>
              </w:rPr>
            </w:pPr>
            <w:r>
              <w:rPr>
                <w:rFonts w:hint="eastAsia" w:ascii="宋体" w:hAnsi="宋体" w:cs="宋体"/>
                <w:color w:val="auto"/>
                <w:sz w:val="24"/>
                <w:szCs w:val="24"/>
              </w:rPr>
              <w:sym w:font="Wingdings 2" w:char="0052"/>
            </w:r>
            <w:r>
              <w:rPr>
                <w:rFonts w:hint="eastAsia" w:ascii="宋体" w:hAnsi="宋体" w:cs="宋体"/>
                <w:color w:val="auto"/>
                <w:sz w:val="24"/>
                <w:szCs w:val="24"/>
              </w:rPr>
              <w:t>首次申报项目</w:t>
            </w:r>
            <w:r>
              <w:rPr>
                <w:rFonts w:ascii="宋体" w:hAnsi="宋体" w:cs="宋体"/>
                <w:color w:val="auto"/>
                <w:sz w:val="24"/>
                <w:szCs w:val="24"/>
              </w:rPr>
              <w:t xml:space="preserve">             </w:t>
            </w:r>
          </w:p>
          <w:p w14:paraId="074CDFCD">
            <w:pPr>
              <w:jc w:val="left"/>
              <w:rPr>
                <w:rFonts w:ascii="宋体" w:hAnsi="宋体" w:cs="宋体"/>
                <w:color w:val="auto"/>
                <w:sz w:val="24"/>
                <w:szCs w:val="24"/>
              </w:rPr>
            </w:pPr>
            <w:r>
              <w:rPr>
                <w:rFonts w:hint="eastAsia" w:ascii="宋体" w:hAnsi="宋体" w:cs="宋体"/>
                <w:color w:val="auto"/>
                <w:sz w:val="24"/>
                <w:szCs w:val="24"/>
              </w:rPr>
              <w:t>□不予批准后再次申报项目</w:t>
            </w:r>
          </w:p>
          <w:p w14:paraId="109F44C7">
            <w:pPr>
              <w:jc w:val="left"/>
              <w:rPr>
                <w:rFonts w:ascii="宋体" w:hAnsi="宋体" w:cs="宋体"/>
                <w:color w:val="auto"/>
                <w:sz w:val="24"/>
                <w:szCs w:val="24"/>
              </w:rPr>
            </w:pPr>
            <w:r>
              <w:rPr>
                <w:rFonts w:hint="eastAsia" w:ascii="宋体" w:hAnsi="宋体" w:cs="宋体"/>
                <w:color w:val="auto"/>
                <w:sz w:val="24"/>
                <w:szCs w:val="24"/>
              </w:rPr>
              <w:sym w:font="Wingdings 2" w:char="00A3"/>
            </w:r>
            <w:r>
              <w:rPr>
                <w:rFonts w:hint="eastAsia" w:ascii="宋体" w:hAnsi="宋体" w:cs="宋体"/>
                <w:color w:val="auto"/>
                <w:sz w:val="24"/>
                <w:szCs w:val="24"/>
              </w:rPr>
              <w:t>超五年重新审核项目</w:t>
            </w:r>
            <w:r>
              <w:rPr>
                <w:rFonts w:ascii="宋体" w:hAnsi="宋体" w:cs="宋体"/>
                <w:color w:val="auto"/>
                <w:sz w:val="24"/>
                <w:szCs w:val="24"/>
              </w:rPr>
              <w:t xml:space="preserve">     </w:t>
            </w:r>
          </w:p>
          <w:p w14:paraId="3BCE1B23">
            <w:pPr>
              <w:jc w:val="left"/>
              <w:rPr>
                <w:rFonts w:ascii="宋体" w:hAnsi="宋体" w:cs="宋体"/>
                <w:color w:val="auto"/>
                <w:sz w:val="24"/>
                <w:szCs w:val="24"/>
              </w:rPr>
            </w:pPr>
            <w:r>
              <w:rPr>
                <w:rFonts w:hint="eastAsia" w:ascii="宋体" w:hAnsi="宋体" w:cs="宋体"/>
                <w:color w:val="auto"/>
                <w:sz w:val="24"/>
                <w:szCs w:val="24"/>
              </w:rPr>
              <w:t>□重大变动重新报批项目</w:t>
            </w:r>
          </w:p>
        </w:tc>
      </w:tr>
      <w:tr w14:paraId="2B6F1E4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1" w:hRule="atLeast"/>
          <w:jc w:val="center"/>
        </w:trPr>
        <w:tc>
          <w:tcPr>
            <w:tcW w:w="1169" w:type="dxa"/>
            <w:gridSpan w:val="3"/>
            <w:tcMar>
              <w:top w:w="16" w:type="dxa"/>
              <w:left w:w="16" w:type="dxa"/>
              <w:right w:w="16" w:type="dxa"/>
            </w:tcMar>
            <w:vAlign w:val="center"/>
          </w:tcPr>
          <w:p w14:paraId="42D08B75">
            <w:pPr>
              <w:adjustRightInd w:val="0"/>
              <w:snapToGrid w:val="0"/>
              <w:jc w:val="center"/>
              <w:rPr>
                <w:rFonts w:ascii="宋体" w:hAnsi="宋体" w:cs="宋体"/>
                <w:color w:val="auto"/>
                <w:sz w:val="24"/>
                <w:szCs w:val="24"/>
              </w:rPr>
            </w:pPr>
            <w:r>
              <w:rPr>
                <w:rFonts w:hint="eastAsia" w:ascii="宋体" w:hAnsi="宋体" w:cs="宋体"/>
                <w:color w:val="auto"/>
                <w:sz w:val="24"/>
                <w:szCs w:val="24"/>
              </w:rPr>
              <w:t>项目审批（核准</w:t>
            </w:r>
            <w:r>
              <w:rPr>
                <w:rFonts w:ascii="宋体" w:hAnsi="宋体" w:cs="宋体"/>
                <w:color w:val="auto"/>
                <w:sz w:val="24"/>
                <w:szCs w:val="24"/>
              </w:rPr>
              <w:t>/</w:t>
            </w:r>
            <w:r>
              <w:rPr>
                <w:rFonts w:hint="eastAsia" w:ascii="宋体" w:hAnsi="宋体" w:cs="宋体"/>
                <w:color w:val="auto"/>
                <w:sz w:val="24"/>
                <w:szCs w:val="24"/>
              </w:rPr>
              <w:t>备案）部门（选填）</w:t>
            </w:r>
          </w:p>
        </w:tc>
        <w:tc>
          <w:tcPr>
            <w:tcW w:w="3389" w:type="dxa"/>
            <w:vAlign w:val="center"/>
          </w:tcPr>
          <w:p w14:paraId="6AE91CC9">
            <w:pPr>
              <w:adjustRightInd w:val="0"/>
              <w:snapToGrid w:val="0"/>
              <w:jc w:val="center"/>
              <w:rPr>
                <w:rFonts w:hint="eastAsia" w:ascii="宋体" w:hAnsi="宋体" w:eastAsia="宋体" w:cs="宋体"/>
                <w:color w:val="auto"/>
                <w:sz w:val="24"/>
                <w:szCs w:val="24"/>
                <w:lang w:eastAsia="zh-CN"/>
              </w:rPr>
            </w:pPr>
            <w:r>
              <w:rPr>
                <w:rFonts w:hint="eastAsia" w:ascii="宋体" w:hAnsi="宋体" w:cs="宋体"/>
                <w:color w:val="auto"/>
                <w:sz w:val="24"/>
                <w:szCs w:val="24"/>
                <w:lang w:val="en-US" w:eastAsia="zh-CN"/>
              </w:rPr>
              <w:t>岳阳市岳阳楼区</w:t>
            </w:r>
            <w:r>
              <w:rPr>
                <w:rFonts w:hint="eastAsia" w:ascii="宋体" w:hAnsi="宋体" w:cs="宋体"/>
                <w:color w:val="auto"/>
                <w:sz w:val="24"/>
                <w:szCs w:val="24"/>
                <w:lang w:eastAsia="zh-CN"/>
              </w:rPr>
              <w:t>发改委</w:t>
            </w:r>
          </w:p>
        </w:tc>
        <w:tc>
          <w:tcPr>
            <w:tcW w:w="1561" w:type="dxa"/>
            <w:vAlign w:val="center"/>
          </w:tcPr>
          <w:p w14:paraId="7C30BB67">
            <w:pPr>
              <w:adjustRightInd w:val="0"/>
              <w:snapToGrid w:val="0"/>
              <w:jc w:val="center"/>
              <w:rPr>
                <w:rFonts w:hint="eastAsia" w:ascii="宋体" w:hAnsi="宋体" w:cs="宋体"/>
                <w:color w:val="auto"/>
                <w:sz w:val="24"/>
                <w:szCs w:val="24"/>
              </w:rPr>
            </w:pPr>
            <w:r>
              <w:rPr>
                <w:rFonts w:hint="eastAsia" w:ascii="宋体" w:hAnsi="宋体" w:cs="宋体"/>
                <w:color w:val="auto"/>
                <w:sz w:val="24"/>
                <w:szCs w:val="24"/>
              </w:rPr>
              <w:t>项目审批（核准</w:t>
            </w:r>
            <w:r>
              <w:rPr>
                <w:rFonts w:ascii="宋体" w:hAnsi="宋体" w:cs="宋体"/>
                <w:color w:val="auto"/>
                <w:sz w:val="24"/>
                <w:szCs w:val="24"/>
              </w:rPr>
              <w:t>/</w:t>
            </w:r>
            <w:r>
              <w:rPr>
                <w:rFonts w:hint="eastAsia" w:ascii="宋体" w:hAnsi="宋体" w:cs="宋体"/>
                <w:color w:val="auto"/>
                <w:sz w:val="24"/>
                <w:szCs w:val="24"/>
              </w:rPr>
              <w:t>备案）文号（选填）</w:t>
            </w:r>
          </w:p>
        </w:tc>
        <w:tc>
          <w:tcPr>
            <w:tcW w:w="2751" w:type="dxa"/>
            <w:gridSpan w:val="2"/>
            <w:vAlign w:val="center"/>
          </w:tcPr>
          <w:p w14:paraId="0CA665EF">
            <w:pPr>
              <w:adjustRightInd w:val="0"/>
              <w:snapToGrid w:val="0"/>
              <w:jc w:val="center"/>
              <w:rPr>
                <w:rFonts w:hint="default" w:ascii="宋体" w:hAnsi="宋体" w:eastAsia="宋体" w:cs="宋体"/>
                <w:color w:val="auto"/>
                <w:sz w:val="24"/>
                <w:szCs w:val="24"/>
                <w:lang w:val="en-US" w:eastAsia="zh-CN"/>
              </w:rPr>
            </w:pPr>
            <w:r>
              <w:rPr>
                <w:rFonts w:hint="eastAsia" w:ascii="宋体" w:hAnsi="宋体" w:cs="宋体"/>
                <w:color w:val="auto"/>
                <w:sz w:val="24"/>
                <w:szCs w:val="24"/>
                <w:lang w:val="en-US" w:eastAsia="zh-CN"/>
              </w:rPr>
              <w:t>岳楼发改审[2024]122号</w:t>
            </w:r>
          </w:p>
        </w:tc>
      </w:tr>
      <w:tr w14:paraId="6528D06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169" w:type="dxa"/>
            <w:gridSpan w:val="3"/>
            <w:tcMar>
              <w:top w:w="16" w:type="dxa"/>
              <w:left w:w="16" w:type="dxa"/>
              <w:right w:w="16" w:type="dxa"/>
            </w:tcMar>
            <w:vAlign w:val="center"/>
          </w:tcPr>
          <w:p w14:paraId="35166BA7">
            <w:pPr>
              <w:adjustRightInd w:val="0"/>
              <w:snapToGrid w:val="0"/>
              <w:jc w:val="center"/>
              <w:rPr>
                <w:rFonts w:ascii="宋体" w:hAnsi="宋体" w:cs="宋体"/>
                <w:color w:val="auto"/>
                <w:sz w:val="24"/>
                <w:szCs w:val="24"/>
              </w:rPr>
            </w:pPr>
            <w:r>
              <w:rPr>
                <w:rFonts w:hint="eastAsia" w:ascii="宋体" w:hAnsi="宋体" w:cs="宋体"/>
                <w:color w:val="auto"/>
                <w:sz w:val="24"/>
                <w:szCs w:val="24"/>
              </w:rPr>
              <w:t>总投资（万元）</w:t>
            </w:r>
          </w:p>
        </w:tc>
        <w:tc>
          <w:tcPr>
            <w:tcW w:w="3389" w:type="dxa"/>
            <w:vAlign w:val="center"/>
          </w:tcPr>
          <w:p w14:paraId="0637C6D4">
            <w:pPr>
              <w:adjustRightInd w:val="0"/>
              <w:snapToGrid w:val="0"/>
              <w:jc w:val="center"/>
              <w:rPr>
                <w:rFonts w:hint="default" w:ascii="宋体" w:hAnsi="宋体" w:eastAsia="宋体" w:cs="宋体"/>
                <w:color w:val="auto"/>
                <w:sz w:val="24"/>
                <w:szCs w:val="24"/>
                <w:lang w:val="en-US" w:eastAsia="zh-CN"/>
              </w:rPr>
            </w:pPr>
            <w:r>
              <w:rPr>
                <w:rFonts w:hint="eastAsia" w:ascii="宋体" w:hAnsi="宋体" w:cs="宋体"/>
                <w:color w:val="auto"/>
                <w:sz w:val="24"/>
                <w:szCs w:val="24"/>
                <w:lang w:val="en-US" w:eastAsia="zh-CN"/>
              </w:rPr>
              <w:t>19600.91</w:t>
            </w:r>
          </w:p>
        </w:tc>
        <w:tc>
          <w:tcPr>
            <w:tcW w:w="1561" w:type="dxa"/>
            <w:tcMar>
              <w:top w:w="16" w:type="dxa"/>
              <w:left w:w="16" w:type="dxa"/>
              <w:right w:w="16" w:type="dxa"/>
            </w:tcMar>
            <w:vAlign w:val="center"/>
          </w:tcPr>
          <w:p w14:paraId="1EBC1688">
            <w:pPr>
              <w:adjustRightInd w:val="0"/>
              <w:snapToGrid w:val="0"/>
              <w:jc w:val="center"/>
              <w:rPr>
                <w:rFonts w:ascii="宋体" w:hAnsi="宋体" w:cs="宋体"/>
                <w:color w:val="auto"/>
                <w:sz w:val="24"/>
                <w:szCs w:val="24"/>
              </w:rPr>
            </w:pPr>
            <w:r>
              <w:rPr>
                <w:rFonts w:hint="eastAsia" w:ascii="宋体" w:hAnsi="宋体" w:cs="宋体"/>
                <w:color w:val="auto"/>
                <w:sz w:val="24"/>
                <w:szCs w:val="24"/>
              </w:rPr>
              <w:t>环保投资（万元）</w:t>
            </w:r>
          </w:p>
        </w:tc>
        <w:tc>
          <w:tcPr>
            <w:tcW w:w="2751" w:type="dxa"/>
            <w:gridSpan w:val="2"/>
            <w:vAlign w:val="center"/>
          </w:tcPr>
          <w:p w14:paraId="63D4F594">
            <w:pPr>
              <w:adjustRightInd w:val="0"/>
              <w:snapToGrid w:val="0"/>
              <w:jc w:val="center"/>
              <w:rPr>
                <w:rFonts w:hint="default" w:ascii="宋体" w:hAnsi="宋体" w:eastAsia="宋体" w:cs="宋体"/>
                <w:color w:val="auto"/>
                <w:sz w:val="24"/>
                <w:szCs w:val="24"/>
                <w:lang w:val="en-US" w:eastAsia="zh-CN"/>
              </w:rPr>
            </w:pPr>
            <w:r>
              <w:rPr>
                <w:rFonts w:hint="eastAsia" w:ascii="宋体" w:hAnsi="宋体" w:cs="宋体"/>
                <w:color w:val="auto"/>
                <w:sz w:val="24"/>
                <w:szCs w:val="24"/>
                <w:lang w:val="en-US" w:eastAsia="zh-CN"/>
              </w:rPr>
              <w:t>340</w:t>
            </w:r>
          </w:p>
        </w:tc>
      </w:tr>
      <w:tr w14:paraId="4B1718C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169" w:type="dxa"/>
            <w:gridSpan w:val="3"/>
            <w:tcMar>
              <w:top w:w="16" w:type="dxa"/>
              <w:left w:w="16" w:type="dxa"/>
              <w:right w:w="16" w:type="dxa"/>
            </w:tcMar>
            <w:vAlign w:val="center"/>
          </w:tcPr>
          <w:p w14:paraId="59F2BBDA">
            <w:pPr>
              <w:adjustRightInd w:val="0"/>
              <w:snapToGrid w:val="0"/>
              <w:jc w:val="center"/>
              <w:rPr>
                <w:rFonts w:ascii="宋体" w:hAnsi="宋体" w:cs="宋体"/>
                <w:color w:val="auto"/>
                <w:sz w:val="24"/>
                <w:szCs w:val="24"/>
              </w:rPr>
            </w:pPr>
            <w:r>
              <w:rPr>
                <w:rFonts w:hint="eastAsia" w:ascii="宋体" w:hAnsi="宋体" w:cs="宋体"/>
                <w:color w:val="auto"/>
                <w:sz w:val="24"/>
                <w:szCs w:val="24"/>
              </w:rPr>
              <w:t>环保投资占比（</w:t>
            </w:r>
            <w:r>
              <w:rPr>
                <w:rFonts w:ascii="宋体" w:hAnsi="宋体" w:cs="宋体"/>
                <w:color w:val="auto"/>
                <w:sz w:val="24"/>
                <w:szCs w:val="24"/>
              </w:rPr>
              <w:t>%</w:t>
            </w:r>
            <w:r>
              <w:rPr>
                <w:rFonts w:hint="eastAsia" w:ascii="宋体" w:hAnsi="宋体" w:cs="宋体"/>
                <w:color w:val="auto"/>
                <w:sz w:val="24"/>
                <w:szCs w:val="24"/>
              </w:rPr>
              <w:t>）</w:t>
            </w:r>
          </w:p>
        </w:tc>
        <w:tc>
          <w:tcPr>
            <w:tcW w:w="3389" w:type="dxa"/>
            <w:vAlign w:val="center"/>
          </w:tcPr>
          <w:p w14:paraId="41E956AF">
            <w:pPr>
              <w:adjustRightInd w:val="0"/>
              <w:snapToGrid w:val="0"/>
              <w:jc w:val="center"/>
              <w:rPr>
                <w:rFonts w:hint="default" w:ascii="宋体" w:hAnsi="宋体" w:eastAsia="宋体" w:cs="宋体"/>
                <w:color w:val="auto"/>
                <w:sz w:val="24"/>
                <w:szCs w:val="24"/>
                <w:lang w:val="en-US" w:eastAsia="zh-CN"/>
              </w:rPr>
            </w:pPr>
            <w:r>
              <w:rPr>
                <w:rFonts w:hint="eastAsia" w:ascii="宋体" w:hAnsi="宋体" w:cs="宋体"/>
                <w:color w:val="auto"/>
                <w:sz w:val="24"/>
                <w:szCs w:val="24"/>
                <w:lang w:val="en-US" w:eastAsia="zh-CN"/>
              </w:rPr>
              <w:t>1.7</w:t>
            </w:r>
          </w:p>
        </w:tc>
        <w:tc>
          <w:tcPr>
            <w:tcW w:w="1561" w:type="dxa"/>
            <w:tcMar>
              <w:top w:w="16" w:type="dxa"/>
              <w:left w:w="16" w:type="dxa"/>
              <w:right w:w="16" w:type="dxa"/>
            </w:tcMar>
            <w:vAlign w:val="center"/>
          </w:tcPr>
          <w:p w14:paraId="74E4F59F">
            <w:pPr>
              <w:adjustRightInd w:val="0"/>
              <w:snapToGrid w:val="0"/>
              <w:jc w:val="center"/>
              <w:rPr>
                <w:rFonts w:ascii="宋体" w:hAnsi="宋体" w:cs="宋体"/>
                <w:color w:val="auto"/>
                <w:sz w:val="24"/>
                <w:szCs w:val="24"/>
              </w:rPr>
            </w:pPr>
            <w:r>
              <w:rPr>
                <w:rFonts w:hint="eastAsia" w:ascii="宋体" w:hAnsi="宋体" w:cs="宋体"/>
                <w:color w:val="auto"/>
                <w:sz w:val="24"/>
                <w:szCs w:val="24"/>
              </w:rPr>
              <w:t>施工工期</w:t>
            </w:r>
          </w:p>
        </w:tc>
        <w:tc>
          <w:tcPr>
            <w:tcW w:w="2751" w:type="dxa"/>
            <w:gridSpan w:val="2"/>
            <w:vAlign w:val="center"/>
          </w:tcPr>
          <w:p w14:paraId="1B01308E">
            <w:pPr>
              <w:adjustRightInd w:val="0"/>
              <w:snapToGrid w:val="0"/>
              <w:jc w:val="center"/>
              <w:rPr>
                <w:rFonts w:hint="eastAsia" w:ascii="宋体" w:hAnsi="宋体" w:eastAsia="宋体" w:cs="宋体"/>
                <w:color w:val="auto"/>
                <w:sz w:val="24"/>
                <w:szCs w:val="24"/>
                <w:lang w:val="en-US" w:eastAsia="zh-CN"/>
              </w:rPr>
            </w:pPr>
            <w:r>
              <w:rPr>
                <w:rFonts w:hint="eastAsia" w:ascii="宋体" w:hAnsi="宋体" w:cs="宋体"/>
                <w:color w:val="auto"/>
                <w:sz w:val="24"/>
                <w:szCs w:val="24"/>
                <w:lang w:val="en-US" w:eastAsia="zh-CN"/>
              </w:rPr>
              <w:t>12个月</w:t>
            </w:r>
          </w:p>
        </w:tc>
      </w:tr>
      <w:tr w14:paraId="703C043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169" w:type="dxa"/>
            <w:gridSpan w:val="3"/>
            <w:tcMar>
              <w:top w:w="16" w:type="dxa"/>
              <w:left w:w="16" w:type="dxa"/>
              <w:right w:w="16" w:type="dxa"/>
            </w:tcMar>
            <w:vAlign w:val="center"/>
          </w:tcPr>
          <w:p w14:paraId="44966730">
            <w:pPr>
              <w:adjustRightInd w:val="0"/>
              <w:snapToGrid w:val="0"/>
              <w:jc w:val="center"/>
              <w:rPr>
                <w:rFonts w:hint="eastAsia" w:ascii="宋体" w:hAnsi="宋体" w:cs="宋体"/>
                <w:color w:val="auto"/>
                <w:sz w:val="24"/>
                <w:szCs w:val="24"/>
              </w:rPr>
            </w:pPr>
            <w:r>
              <w:rPr>
                <w:rFonts w:hint="eastAsia" w:ascii="宋体" w:hAnsi="宋体" w:cs="宋体"/>
                <w:color w:val="auto"/>
                <w:sz w:val="24"/>
                <w:szCs w:val="24"/>
              </w:rPr>
              <w:t>是否开工建设</w:t>
            </w:r>
          </w:p>
        </w:tc>
        <w:tc>
          <w:tcPr>
            <w:tcW w:w="7701" w:type="dxa"/>
            <w:gridSpan w:val="4"/>
            <w:vAlign w:val="center"/>
          </w:tcPr>
          <w:p w14:paraId="5E2DAEDD">
            <w:pPr>
              <w:keepNext w:val="0"/>
              <w:keepLines w:val="0"/>
              <w:pageBreakBefore w:val="0"/>
              <w:widowControl w:val="0"/>
              <w:kinsoku/>
              <w:wordWrap/>
              <w:overflowPunct/>
              <w:topLinePunct w:val="0"/>
              <w:autoSpaceDE/>
              <w:autoSpaceDN/>
              <w:bidi w:val="0"/>
              <w:adjustRightInd w:val="0"/>
              <w:snapToGrid w:val="0"/>
              <w:ind w:firstLine="0"/>
              <w:jc w:val="left"/>
              <w:textAlignment w:val="auto"/>
              <w:rPr>
                <w:rFonts w:ascii="宋体" w:hAnsi="宋体" w:cs="宋体"/>
                <w:color w:val="auto"/>
                <w:szCs w:val="21"/>
              </w:rPr>
            </w:pPr>
            <w:r>
              <w:rPr>
                <w:rFonts w:hint="eastAsia" w:ascii="宋体" w:hAnsi="宋体" w:cs="宋体"/>
                <w:color w:val="auto"/>
                <w:szCs w:val="21"/>
                <w:lang w:eastAsia="zh-CN"/>
              </w:rPr>
              <w:t>☑</w:t>
            </w:r>
            <w:r>
              <w:rPr>
                <w:rFonts w:hint="eastAsia" w:ascii="宋体" w:hAnsi="宋体" w:cs="宋体"/>
                <w:color w:val="auto"/>
                <w:szCs w:val="21"/>
              </w:rPr>
              <w:t>否</w:t>
            </w:r>
          </w:p>
          <w:p w14:paraId="75D03FBD">
            <w:pPr>
              <w:adjustRightInd w:val="0"/>
              <w:snapToGrid w:val="0"/>
              <w:jc w:val="left"/>
              <w:rPr>
                <w:rFonts w:hint="eastAsia" w:ascii="宋体" w:hAnsi="宋体" w:cs="宋体"/>
                <w:color w:val="auto"/>
                <w:sz w:val="24"/>
                <w:szCs w:val="24"/>
                <w:lang w:val="en-US" w:eastAsia="zh-CN"/>
              </w:rPr>
            </w:pPr>
            <w:r>
              <w:rPr>
                <w:rFonts w:hint="eastAsia" w:ascii="宋体" w:hAnsi="宋体" w:cs="宋体"/>
                <w:color w:val="auto"/>
                <w:szCs w:val="21"/>
              </w:rPr>
              <w:t>□是：</w:t>
            </w:r>
            <w:r>
              <w:rPr>
                <w:rFonts w:ascii="宋体" w:hAnsi="宋体" w:cs="宋体"/>
                <w:color w:val="auto"/>
                <w:szCs w:val="21"/>
                <w:u w:val="single"/>
              </w:rPr>
              <w:t xml:space="preserve"> </w:t>
            </w:r>
            <w:r>
              <w:rPr>
                <w:rFonts w:hint="eastAsia" w:ascii="宋体" w:hAnsi="宋体" w:cs="宋体"/>
                <w:color w:val="auto"/>
                <w:szCs w:val="21"/>
                <w:u w:val="single"/>
              </w:rPr>
              <w:t xml:space="preserve">                     </w:t>
            </w:r>
            <w:r>
              <w:rPr>
                <w:rFonts w:ascii="宋体" w:hAnsi="宋体" w:cs="宋体"/>
                <w:color w:val="auto"/>
                <w:szCs w:val="21"/>
                <w:u w:val="single"/>
              </w:rPr>
              <w:t xml:space="preserve">       </w:t>
            </w:r>
          </w:p>
        </w:tc>
      </w:tr>
      <w:tr w14:paraId="0B59D76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86" w:hRule="atLeast"/>
          <w:jc w:val="center"/>
        </w:trPr>
        <w:tc>
          <w:tcPr>
            <w:tcW w:w="726" w:type="dxa"/>
            <w:gridSpan w:val="2"/>
            <w:vAlign w:val="center"/>
          </w:tcPr>
          <w:p w14:paraId="0CF11AB6">
            <w:pPr>
              <w:autoSpaceDE w:val="0"/>
              <w:autoSpaceDN w:val="0"/>
              <w:adjustRightInd w:val="0"/>
              <w:snapToGrid w:val="0"/>
              <w:jc w:val="center"/>
              <w:rPr>
                <w:rFonts w:ascii="宋体" w:hAnsi="宋体" w:cs="宋体"/>
                <w:color w:val="FF0000"/>
                <w:kern w:val="0"/>
                <w:sz w:val="24"/>
                <w:szCs w:val="24"/>
              </w:rPr>
            </w:pPr>
            <w:r>
              <w:rPr>
                <w:rFonts w:hint="eastAsia" w:ascii="宋体" w:hAnsi="宋体" w:cs="宋体"/>
                <w:color w:val="auto"/>
                <w:kern w:val="0"/>
                <w:sz w:val="24"/>
                <w:szCs w:val="24"/>
              </w:rPr>
              <w:t>专项评价设置情况</w:t>
            </w:r>
          </w:p>
        </w:tc>
        <w:tc>
          <w:tcPr>
            <w:tcW w:w="8144" w:type="dxa"/>
            <w:gridSpan w:val="5"/>
            <w:vAlign w:val="center"/>
          </w:tcPr>
          <w:p w14:paraId="4508532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根据《建设项目环境影响报告表编制技术指南（生态影响类）（试行）》表 1 专项评价设置原则，本项目判定如下：</w:t>
            </w:r>
          </w:p>
          <w:p w14:paraId="3E09C453">
            <w:pPr>
              <w:autoSpaceDE w:val="0"/>
              <w:autoSpaceDN w:val="0"/>
              <w:adjustRightInd w:val="0"/>
              <w:snapToGrid w:val="0"/>
              <w:jc w:val="center"/>
              <w:rPr>
                <w:rFonts w:hint="eastAsia" w:ascii="宋体" w:hAnsi="宋体" w:cs="宋体"/>
                <w:color w:val="auto"/>
                <w:kern w:val="0"/>
                <w:sz w:val="24"/>
                <w:szCs w:val="24"/>
                <w:lang w:val="en-US" w:eastAsia="zh-CN"/>
              </w:rPr>
            </w:pPr>
            <w:r>
              <w:rPr>
                <w:rFonts w:hint="eastAsia" w:ascii="宋体" w:hAnsi="宋体" w:cs="宋体"/>
                <w:color w:val="auto"/>
                <w:kern w:val="0"/>
                <w:sz w:val="24"/>
                <w:szCs w:val="24"/>
                <w:lang w:val="en-US" w:eastAsia="zh-CN"/>
              </w:rPr>
              <w:t>表1.专项评价设置原则表</w:t>
            </w:r>
          </w:p>
          <w:tbl>
            <w:tblPr>
              <w:tblStyle w:val="10"/>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86"/>
              <w:gridCol w:w="4777"/>
              <w:gridCol w:w="2135"/>
            </w:tblGrid>
            <w:tr w14:paraId="3166DD5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tcBorders>
                    <w:tl2br w:val="nil"/>
                    <w:tr2bl w:val="nil"/>
                  </w:tcBorders>
                  <w:vAlign w:val="center"/>
                </w:tcPr>
                <w:p w14:paraId="1CC819FB">
                  <w:pPr>
                    <w:autoSpaceDE w:val="0"/>
                    <w:autoSpaceDN w:val="0"/>
                    <w:adjustRightInd w:val="0"/>
                    <w:snapToGrid w:val="0"/>
                    <w:jc w:val="center"/>
                    <w:rPr>
                      <w:rFonts w:hint="default" w:ascii="宋体" w:hAnsi="宋体" w:cs="宋体"/>
                      <w:b/>
                      <w:bCs/>
                      <w:color w:val="auto"/>
                      <w:kern w:val="0"/>
                      <w:sz w:val="24"/>
                      <w:szCs w:val="24"/>
                      <w:vertAlign w:val="baseline"/>
                      <w:lang w:val="en-US" w:eastAsia="zh-CN"/>
                    </w:rPr>
                  </w:pPr>
                  <w:r>
                    <w:rPr>
                      <w:rFonts w:hint="eastAsia" w:ascii="宋体" w:hAnsi="宋体" w:cs="宋体"/>
                      <w:b/>
                      <w:bCs/>
                      <w:color w:val="auto"/>
                      <w:kern w:val="0"/>
                      <w:sz w:val="24"/>
                      <w:szCs w:val="24"/>
                      <w:vertAlign w:val="baseline"/>
                      <w:lang w:val="en-US" w:eastAsia="zh-CN"/>
                    </w:rPr>
                    <w:t>专项评价类别</w:t>
                  </w:r>
                </w:p>
              </w:tc>
              <w:tc>
                <w:tcPr>
                  <w:tcW w:w="4777" w:type="dxa"/>
                  <w:tcBorders>
                    <w:tl2br w:val="nil"/>
                    <w:tr2bl w:val="nil"/>
                  </w:tcBorders>
                  <w:vAlign w:val="center"/>
                </w:tcPr>
                <w:p w14:paraId="0AD6448F">
                  <w:pPr>
                    <w:autoSpaceDE w:val="0"/>
                    <w:autoSpaceDN w:val="0"/>
                    <w:adjustRightInd w:val="0"/>
                    <w:snapToGrid w:val="0"/>
                    <w:jc w:val="center"/>
                    <w:rPr>
                      <w:rFonts w:hint="default" w:ascii="宋体" w:hAnsi="宋体" w:cs="宋体"/>
                      <w:b/>
                      <w:bCs/>
                      <w:color w:val="auto"/>
                      <w:kern w:val="0"/>
                      <w:sz w:val="24"/>
                      <w:szCs w:val="24"/>
                      <w:vertAlign w:val="baseline"/>
                      <w:lang w:val="en-US" w:eastAsia="zh-CN"/>
                    </w:rPr>
                  </w:pPr>
                  <w:r>
                    <w:rPr>
                      <w:rFonts w:hint="eastAsia" w:ascii="宋体" w:hAnsi="宋体" w:cs="宋体"/>
                      <w:b/>
                      <w:bCs/>
                      <w:color w:val="auto"/>
                      <w:kern w:val="0"/>
                      <w:sz w:val="24"/>
                      <w:szCs w:val="24"/>
                      <w:vertAlign w:val="baseline"/>
                      <w:lang w:val="en-US" w:eastAsia="zh-CN"/>
                    </w:rPr>
                    <w:t>设置原则</w:t>
                  </w:r>
                </w:p>
              </w:tc>
              <w:tc>
                <w:tcPr>
                  <w:tcW w:w="2135" w:type="dxa"/>
                  <w:tcBorders>
                    <w:tl2br w:val="nil"/>
                    <w:tr2bl w:val="nil"/>
                  </w:tcBorders>
                  <w:vAlign w:val="center"/>
                </w:tcPr>
                <w:p w14:paraId="580C49E6">
                  <w:pPr>
                    <w:autoSpaceDE w:val="0"/>
                    <w:autoSpaceDN w:val="0"/>
                    <w:adjustRightInd w:val="0"/>
                    <w:snapToGrid w:val="0"/>
                    <w:jc w:val="center"/>
                    <w:rPr>
                      <w:rFonts w:hint="default" w:ascii="宋体" w:hAnsi="宋体" w:cs="宋体"/>
                      <w:b/>
                      <w:bCs/>
                      <w:color w:val="auto"/>
                      <w:kern w:val="0"/>
                      <w:sz w:val="24"/>
                      <w:szCs w:val="24"/>
                      <w:vertAlign w:val="baseline"/>
                      <w:lang w:val="en-US" w:eastAsia="zh-CN"/>
                    </w:rPr>
                  </w:pPr>
                  <w:r>
                    <w:rPr>
                      <w:rFonts w:hint="eastAsia" w:ascii="宋体" w:hAnsi="宋体" w:cs="宋体"/>
                      <w:b/>
                      <w:bCs/>
                      <w:color w:val="auto"/>
                      <w:kern w:val="0"/>
                      <w:sz w:val="24"/>
                      <w:szCs w:val="24"/>
                      <w:vertAlign w:val="baseline"/>
                      <w:lang w:val="en-US" w:eastAsia="zh-CN"/>
                    </w:rPr>
                    <w:t>本项目情况</w:t>
                  </w:r>
                </w:p>
              </w:tc>
            </w:tr>
            <w:tr w14:paraId="7A083D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tcBorders>
                    <w:tl2br w:val="nil"/>
                    <w:tr2bl w:val="nil"/>
                  </w:tcBorders>
                  <w:vAlign w:val="center"/>
                </w:tcPr>
                <w:p w14:paraId="4B4B1761">
                  <w:pPr>
                    <w:autoSpaceDE w:val="0"/>
                    <w:autoSpaceDN w:val="0"/>
                    <w:adjustRightInd w:val="0"/>
                    <w:snapToGrid w:val="0"/>
                    <w:jc w:val="center"/>
                    <w:rPr>
                      <w:rFonts w:hint="default" w:ascii="宋体" w:hAnsi="宋体" w:cs="宋体"/>
                      <w:color w:val="auto"/>
                      <w:kern w:val="0"/>
                      <w:sz w:val="21"/>
                      <w:szCs w:val="21"/>
                      <w:vertAlign w:val="baseline"/>
                      <w:lang w:val="en-US" w:eastAsia="zh-CN"/>
                    </w:rPr>
                  </w:pPr>
                  <w:r>
                    <w:rPr>
                      <w:rFonts w:hint="eastAsia" w:ascii="宋体" w:hAnsi="宋体" w:cs="宋体"/>
                      <w:color w:val="auto"/>
                      <w:kern w:val="0"/>
                      <w:sz w:val="21"/>
                      <w:szCs w:val="21"/>
                      <w:vertAlign w:val="baseline"/>
                      <w:lang w:val="en-US" w:eastAsia="zh-CN"/>
                    </w:rPr>
                    <w:t>大气</w:t>
                  </w:r>
                </w:p>
              </w:tc>
              <w:tc>
                <w:tcPr>
                  <w:tcW w:w="4777" w:type="dxa"/>
                  <w:tcBorders>
                    <w:tl2br w:val="nil"/>
                    <w:tr2bl w:val="nil"/>
                  </w:tcBorders>
                  <w:vAlign w:val="center"/>
                </w:tcPr>
                <w:p w14:paraId="269F5319">
                  <w:pPr>
                    <w:autoSpaceDE w:val="0"/>
                    <w:autoSpaceDN w:val="0"/>
                    <w:adjustRightInd w:val="0"/>
                    <w:snapToGrid w:val="0"/>
                    <w:jc w:val="left"/>
                    <w:rPr>
                      <w:rFonts w:hint="default" w:ascii="宋体" w:hAnsi="宋体" w:cs="宋体"/>
                      <w:color w:val="auto"/>
                      <w:kern w:val="0"/>
                      <w:sz w:val="21"/>
                      <w:szCs w:val="21"/>
                      <w:vertAlign w:val="baseline"/>
                      <w:lang w:val="en-US" w:eastAsia="zh-CN"/>
                    </w:rPr>
                  </w:pPr>
                  <w:r>
                    <w:rPr>
                      <w:rFonts w:hint="default" w:ascii="宋体" w:hAnsi="宋体" w:cs="宋体"/>
                      <w:color w:val="auto"/>
                      <w:kern w:val="0"/>
                      <w:sz w:val="21"/>
                      <w:szCs w:val="21"/>
                      <w:vertAlign w:val="baseline"/>
                      <w:lang w:val="en-US" w:eastAsia="zh-CN"/>
                    </w:rPr>
                    <w:t>油气、液体化工码头：全部；</w:t>
                  </w:r>
                </w:p>
                <w:p w14:paraId="3868FA83">
                  <w:pPr>
                    <w:autoSpaceDE w:val="0"/>
                    <w:autoSpaceDN w:val="0"/>
                    <w:adjustRightInd w:val="0"/>
                    <w:snapToGrid w:val="0"/>
                    <w:jc w:val="left"/>
                    <w:rPr>
                      <w:rFonts w:hint="default" w:ascii="宋体" w:hAnsi="宋体" w:cs="宋体"/>
                      <w:color w:val="auto"/>
                      <w:kern w:val="0"/>
                      <w:sz w:val="21"/>
                      <w:szCs w:val="21"/>
                      <w:vertAlign w:val="baseline"/>
                      <w:lang w:val="en-US" w:eastAsia="zh-CN"/>
                    </w:rPr>
                  </w:pPr>
                  <w:r>
                    <w:rPr>
                      <w:rFonts w:hint="default" w:ascii="宋体" w:hAnsi="宋体" w:cs="宋体"/>
                      <w:color w:val="auto"/>
                      <w:kern w:val="0"/>
                      <w:sz w:val="21"/>
                      <w:szCs w:val="21"/>
                      <w:vertAlign w:val="baseline"/>
                      <w:lang w:val="en-US" w:eastAsia="zh-CN"/>
                    </w:rPr>
                    <w:t>干散货（含煤炭、矿石）、件杂、多用途、通用码头：涉及粉尘、挥发性有机物排放的项目</w:t>
                  </w:r>
                </w:p>
              </w:tc>
              <w:tc>
                <w:tcPr>
                  <w:tcW w:w="2135" w:type="dxa"/>
                  <w:tcBorders>
                    <w:tl2br w:val="nil"/>
                    <w:tr2bl w:val="nil"/>
                  </w:tcBorders>
                  <w:vAlign w:val="center"/>
                </w:tcPr>
                <w:p w14:paraId="283F513B">
                  <w:pPr>
                    <w:autoSpaceDE w:val="0"/>
                    <w:autoSpaceDN w:val="0"/>
                    <w:adjustRightInd w:val="0"/>
                    <w:snapToGrid w:val="0"/>
                    <w:jc w:val="center"/>
                    <w:rPr>
                      <w:rFonts w:hint="default" w:ascii="宋体" w:hAnsi="宋体" w:cs="宋体"/>
                      <w:color w:val="auto"/>
                      <w:kern w:val="0"/>
                      <w:sz w:val="21"/>
                      <w:szCs w:val="21"/>
                      <w:vertAlign w:val="baseline"/>
                      <w:lang w:val="en-US" w:eastAsia="zh-CN"/>
                    </w:rPr>
                  </w:pPr>
                  <w:r>
                    <w:rPr>
                      <w:rFonts w:hint="eastAsia" w:ascii="宋体" w:hAnsi="宋体" w:cs="宋体"/>
                      <w:color w:val="auto"/>
                      <w:kern w:val="0"/>
                      <w:sz w:val="21"/>
                      <w:szCs w:val="21"/>
                      <w:vertAlign w:val="baseline"/>
                      <w:lang w:val="en-US" w:eastAsia="zh-CN"/>
                    </w:rPr>
                    <w:t>本项目不涉及码头工程，无需设置大气专题。</w:t>
                  </w:r>
                </w:p>
              </w:tc>
            </w:tr>
            <w:tr w14:paraId="420B9C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tcBorders>
                    <w:tl2br w:val="nil"/>
                    <w:tr2bl w:val="nil"/>
                  </w:tcBorders>
                  <w:vAlign w:val="center"/>
                </w:tcPr>
                <w:p w14:paraId="56A281ED">
                  <w:pPr>
                    <w:autoSpaceDE w:val="0"/>
                    <w:autoSpaceDN w:val="0"/>
                    <w:adjustRightInd w:val="0"/>
                    <w:snapToGrid w:val="0"/>
                    <w:jc w:val="center"/>
                    <w:rPr>
                      <w:rFonts w:hint="eastAsia" w:ascii="宋体" w:hAnsi="宋体" w:cs="宋体"/>
                      <w:color w:val="auto"/>
                      <w:kern w:val="0"/>
                      <w:sz w:val="21"/>
                      <w:szCs w:val="21"/>
                      <w:vertAlign w:val="baseline"/>
                      <w:lang w:val="en-US" w:eastAsia="zh-CN"/>
                    </w:rPr>
                  </w:pPr>
                  <w:r>
                    <w:rPr>
                      <w:rFonts w:hint="eastAsia" w:ascii="宋体" w:hAnsi="宋体" w:cs="宋体"/>
                      <w:color w:val="auto"/>
                      <w:kern w:val="0"/>
                      <w:sz w:val="21"/>
                      <w:szCs w:val="21"/>
                      <w:vertAlign w:val="baseline"/>
                      <w:lang w:val="en-US" w:eastAsia="zh-CN"/>
                    </w:rPr>
                    <w:t>地表水</w:t>
                  </w:r>
                </w:p>
              </w:tc>
              <w:tc>
                <w:tcPr>
                  <w:tcW w:w="4777" w:type="dxa"/>
                  <w:tcBorders>
                    <w:tl2br w:val="nil"/>
                    <w:tr2bl w:val="nil"/>
                  </w:tcBorders>
                  <w:vAlign w:val="center"/>
                </w:tcPr>
                <w:p w14:paraId="421AA1E3">
                  <w:pPr>
                    <w:autoSpaceDE w:val="0"/>
                    <w:autoSpaceDN w:val="0"/>
                    <w:adjustRightInd w:val="0"/>
                    <w:snapToGrid w:val="0"/>
                    <w:jc w:val="left"/>
                    <w:rPr>
                      <w:rFonts w:hint="default" w:ascii="宋体" w:hAnsi="宋体" w:cs="宋体"/>
                      <w:color w:val="auto"/>
                      <w:kern w:val="0"/>
                      <w:sz w:val="21"/>
                      <w:szCs w:val="21"/>
                      <w:vertAlign w:val="baseline"/>
                      <w:lang w:val="en-US" w:eastAsia="zh-CN"/>
                    </w:rPr>
                  </w:pPr>
                  <w:r>
                    <w:rPr>
                      <w:rFonts w:hint="default" w:ascii="宋体" w:hAnsi="宋体" w:cs="宋体"/>
                      <w:color w:val="auto"/>
                      <w:kern w:val="0"/>
                      <w:sz w:val="21"/>
                      <w:szCs w:val="21"/>
                      <w:vertAlign w:val="baseline"/>
                      <w:lang w:val="en-US" w:eastAsia="zh-CN"/>
                    </w:rPr>
                    <w:t>水力发电：引水式发电、涉及调峰发电的项目；</w:t>
                  </w:r>
                </w:p>
                <w:p w14:paraId="7D9E88E6">
                  <w:pPr>
                    <w:autoSpaceDE w:val="0"/>
                    <w:autoSpaceDN w:val="0"/>
                    <w:adjustRightInd w:val="0"/>
                    <w:snapToGrid w:val="0"/>
                    <w:jc w:val="left"/>
                    <w:rPr>
                      <w:rFonts w:hint="default" w:ascii="宋体" w:hAnsi="宋体" w:cs="宋体"/>
                      <w:color w:val="auto"/>
                      <w:kern w:val="0"/>
                      <w:sz w:val="21"/>
                      <w:szCs w:val="21"/>
                      <w:vertAlign w:val="baseline"/>
                      <w:lang w:val="en-US" w:eastAsia="zh-CN"/>
                    </w:rPr>
                  </w:pPr>
                  <w:r>
                    <w:rPr>
                      <w:rFonts w:hint="default" w:ascii="宋体" w:hAnsi="宋体" w:cs="宋体"/>
                      <w:color w:val="auto"/>
                      <w:kern w:val="0"/>
                      <w:sz w:val="21"/>
                      <w:szCs w:val="21"/>
                      <w:vertAlign w:val="baseline"/>
                      <w:lang w:val="en-US" w:eastAsia="zh-CN"/>
                    </w:rPr>
                    <w:t>人工湖、人工湿地：全部；</w:t>
                  </w:r>
                </w:p>
                <w:p w14:paraId="1729F025">
                  <w:pPr>
                    <w:autoSpaceDE w:val="0"/>
                    <w:autoSpaceDN w:val="0"/>
                    <w:adjustRightInd w:val="0"/>
                    <w:snapToGrid w:val="0"/>
                    <w:jc w:val="left"/>
                    <w:rPr>
                      <w:rFonts w:hint="default" w:ascii="宋体" w:hAnsi="宋体" w:cs="宋体"/>
                      <w:color w:val="auto"/>
                      <w:kern w:val="0"/>
                      <w:sz w:val="21"/>
                      <w:szCs w:val="21"/>
                      <w:vertAlign w:val="baseline"/>
                      <w:lang w:val="en-US" w:eastAsia="zh-CN"/>
                    </w:rPr>
                  </w:pPr>
                  <w:r>
                    <w:rPr>
                      <w:rFonts w:hint="default" w:ascii="宋体" w:hAnsi="宋体" w:cs="宋体"/>
                      <w:color w:val="auto"/>
                      <w:kern w:val="0"/>
                      <w:sz w:val="21"/>
                      <w:szCs w:val="21"/>
                      <w:vertAlign w:val="baseline"/>
                      <w:lang w:val="en-US" w:eastAsia="zh-CN"/>
                    </w:rPr>
                    <w:t>水库：全部；</w:t>
                  </w:r>
                </w:p>
                <w:p w14:paraId="359CD8B0">
                  <w:pPr>
                    <w:autoSpaceDE w:val="0"/>
                    <w:autoSpaceDN w:val="0"/>
                    <w:adjustRightInd w:val="0"/>
                    <w:snapToGrid w:val="0"/>
                    <w:jc w:val="left"/>
                    <w:rPr>
                      <w:rFonts w:hint="default" w:ascii="宋体" w:hAnsi="宋体" w:cs="宋体"/>
                      <w:color w:val="auto"/>
                      <w:kern w:val="0"/>
                      <w:sz w:val="21"/>
                      <w:szCs w:val="21"/>
                      <w:vertAlign w:val="baseline"/>
                      <w:lang w:val="en-US" w:eastAsia="zh-CN"/>
                    </w:rPr>
                  </w:pPr>
                  <w:r>
                    <w:rPr>
                      <w:rFonts w:hint="default" w:ascii="宋体" w:hAnsi="宋体" w:cs="宋体"/>
                      <w:color w:val="auto"/>
                      <w:kern w:val="0"/>
                      <w:sz w:val="21"/>
                      <w:szCs w:val="21"/>
                      <w:vertAlign w:val="baseline"/>
                      <w:lang w:val="en-US" w:eastAsia="zh-CN"/>
                    </w:rPr>
                    <w:t>引水工程：全部（配套的管线工程等除外）；</w:t>
                  </w:r>
                </w:p>
                <w:p w14:paraId="5E820574">
                  <w:pPr>
                    <w:autoSpaceDE w:val="0"/>
                    <w:autoSpaceDN w:val="0"/>
                    <w:adjustRightInd w:val="0"/>
                    <w:snapToGrid w:val="0"/>
                    <w:jc w:val="left"/>
                    <w:rPr>
                      <w:rFonts w:hint="default" w:ascii="宋体" w:hAnsi="宋体" w:cs="宋体"/>
                      <w:color w:val="auto"/>
                      <w:kern w:val="0"/>
                      <w:sz w:val="21"/>
                      <w:szCs w:val="21"/>
                      <w:vertAlign w:val="baseline"/>
                      <w:lang w:val="en-US" w:eastAsia="zh-CN"/>
                    </w:rPr>
                  </w:pPr>
                  <w:r>
                    <w:rPr>
                      <w:rFonts w:hint="default" w:ascii="宋体" w:hAnsi="宋体" w:cs="宋体"/>
                      <w:color w:val="auto"/>
                      <w:kern w:val="0"/>
                      <w:sz w:val="21"/>
                      <w:szCs w:val="21"/>
                      <w:vertAlign w:val="baseline"/>
                      <w:lang w:val="en-US" w:eastAsia="zh-CN"/>
                    </w:rPr>
                    <w:t>防洪除涝工程：包含水库的项目；</w:t>
                  </w:r>
                </w:p>
                <w:p w14:paraId="0290ECE7">
                  <w:pPr>
                    <w:autoSpaceDE w:val="0"/>
                    <w:autoSpaceDN w:val="0"/>
                    <w:adjustRightInd w:val="0"/>
                    <w:snapToGrid w:val="0"/>
                    <w:jc w:val="left"/>
                    <w:rPr>
                      <w:rFonts w:hint="default" w:ascii="宋体" w:hAnsi="宋体" w:cs="宋体"/>
                      <w:color w:val="auto"/>
                      <w:kern w:val="0"/>
                      <w:sz w:val="21"/>
                      <w:szCs w:val="21"/>
                      <w:vertAlign w:val="baseline"/>
                      <w:lang w:val="en-US" w:eastAsia="zh-CN"/>
                    </w:rPr>
                  </w:pPr>
                  <w:r>
                    <w:rPr>
                      <w:rFonts w:hint="default" w:ascii="宋体" w:hAnsi="宋体" w:cs="宋体"/>
                      <w:color w:val="auto"/>
                      <w:kern w:val="0"/>
                      <w:sz w:val="21"/>
                      <w:szCs w:val="21"/>
                      <w:vertAlign w:val="baseline"/>
                      <w:lang w:val="en-US" w:eastAsia="zh-CN"/>
                    </w:rPr>
                    <w:t>河湖整治：涉及清淤且底泥存在重金属污染的项目</w:t>
                  </w:r>
                </w:p>
              </w:tc>
              <w:tc>
                <w:tcPr>
                  <w:tcW w:w="2135" w:type="dxa"/>
                  <w:tcBorders>
                    <w:tl2br w:val="nil"/>
                    <w:tr2bl w:val="nil"/>
                  </w:tcBorders>
                  <w:vAlign w:val="center"/>
                </w:tcPr>
                <w:p w14:paraId="6819EB7E">
                  <w:pPr>
                    <w:autoSpaceDE w:val="0"/>
                    <w:autoSpaceDN w:val="0"/>
                    <w:adjustRightInd w:val="0"/>
                    <w:snapToGrid w:val="0"/>
                    <w:jc w:val="center"/>
                    <w:rPr>
                      <w:rFonts w:hint="eastAsia" w:ascii="宋体" w:hAnsi="宋体" w:cs="宋体"/>
                      <w:color w:val="auto"/>
                      <w:kern w:val="0"/>
                      <w:sz w:val="21"/>
                      <w:szCs w:val="21"/>
                      <w:vertAlign w:val="baseline"/>
                      <w:lang w:val="en-US" w:eastAsia="zh-CN"/>
                    </w:rPr>
                  </w:pPr>
                  <w:r>
                    <w:rPr>
                      <w:rFonts w:hint="eastAsia" w:ascii="宋体" w:hAnsi="宋体" w:cs="宋体"/>
                      <w:color w:val="auto"/>
                      <w:kern w:val="0"/>
                      <w:sz w:val="21"/>
                      <w:szCs w:val="21"/>
                      <w:vertAlign w:val="baseline"/>
                      <w:lang w:val="en-US" w:eastAsia="zh-CN"/>
                    </w:rPr>
                    <w:t>本项目为城市防洪除涝改造（不含水库）、引水管线工程；</w:t>
                  </w:r>
                </w:p>
                <w:p w14:paraId="4D885DC1">
                  <w:pPr>
                    <w:autoSpaceDE w:val="0"/>
                    <w:autoSpaceDN w:val="0"/>
                    <w:adjustRightInd w:val="0"/>
                    <w:snapToGrid w:val="0"/>
                    <w:jc w:val="center"/>
                    <w:rPr>
                      <w:rFonts w:hint="eastAsia" w:ascii="宋体" w:hAnsi="宋体" w:cs="宋体"/>
                      <w:color w:val="auto"/>
                      <w:kern w:val="0"/>
                      <w:sz w:val="21"/>
                      <w:szCs w:val="21"/>
                      <w:vertAlign w:val="baseline"/>
                      <w:lang w:val="en-US" w:eastAsia="zh-CN"/>
                    </w:rPr>
                  </w:pPr>
                  <w:r>
                    <w:rPr>
                      <w:rFonts w:hint="eastAsia" w:ascii="宋体" w:hAnsi="宋体" w:cs="宋体"/>
                      <w:color w:val="auto"/>
                      <w:kern w:val="0"/>
                      <w:sz w:val="21"/>
                      <w:szCs w:val="21"/>
                      <w:vertAlign w:val="baseline"/>
                      <w:lang w:val="en-US" w:eastAsia="zh-CN"/>
                    </w:rPr>
                    <w:t>不涉及水力发电、人工湖/湿地、水库、河湖整治，无需设置地表水专项。</w:t>
                  </w:r>
                </w:p>
              </w:tc>
            </w:tr>
            <w:tr w14:paraId="79D0A7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tcBorders>
                    <w:tl2br w:val="nil"/>
                    <w:tr2bl w:val="nil"/>
                  </w:tcBorders>
                  <w:vAlign w:val="center"/>
                </w:tcPr>
                <w:p w14:paraId="61FD7EDA">
                  <w:pPr>
                    <w:autoSpaceDE w:val="0"/>
                    <w:autoSpaceDN w:val="0"/>
                    <w:adjustRightInd w:val="0"/>
                    <w:snapToGrid w:val="0"/>
                    <w:jc w:val="center"/>
                    <w:rPr>
                      <w:rFonts w:hint="eastAsia" w:ascii="宋体" w:hAnsi="宋体" w:cs="宋体"/>
                      <w:color w:val="auto"/>
                      <w:kern w:val="0"/>
                      <w:sz w:val="21"/>
                      <w:szCs w:val="21"/>
                      <w:vertAlign w:val="baseline"/>
                      <w:lang w:val="en-US" w:eastAsia="zh-CN"/>
                    </w:rPr>
                  </w:pPr>
                  <w:r>
                    <w:rPr>
                      <w:rFonts w:hint="eastAsia" w:ascii="宋体" w:hAnsi="宋体" w:cs="宋体"/>
                      <w:color w:val="auto"/>
                      <w:kern w:val="0"/>
                      <w:sz w:val="21"/>
                      <w:szCs w:val="21"/>
                      <w:vertAlign w:val="baseline"/>
                      <w:lang w:val="en-US" w:eastAsia="zh-CN"/>
                    </w:rPr>
                    <w:t>生态</w:t>
                  </w:r>
                </w:p>
              </w:tc>
              <w:tc>
                <w:tcPr>
                  <w:tcW w:w="4777" w:type="dxa"/>
                  <w:tcBorders>
                    <w:tl2br w:val="nil"/>
                    <w:tr2bl w:val="nil"/>
                  </w:tcBorders>
                  <w:vAlign w:val="center"/>
                </w:tcPr>
                <w:p w14:paraId="44CEBE74">
                  <w:pPr>
                    <w:autoSpaceDE w:val="0"/>
                    <w:autoSpaceDN w:val="0"/>
                    <w:adjustRightInd w:val="0"/>
                    <w:snapToGrid w:val="0"/>
                    <w:jc w:val="left"/>
                    <w:rPr>
                      <w:rFonts w:hint="default" w:ascii="宋体" w:hAnsi="宋体" w:cs="宋体"/>
                      <w:color w:val="auto"/>
                      <w:kern w:val="0"/>
                      <w:sz w:val="21"/>
                      <w:szCs w:val="21"/>
                      <w:vertAlign w:val="baseline"/>
                      <w:lang w:val="en-US" w:eastAsia="zh-CN"/>
                    </w:rPr>
                  </w:pPr>
                  <w:r>
                    <w:rPr>
                      <w:rFonts w:hint="default" w:ascii="宋体" w:hAnsi="宋体" w:cs="宋体"/>
                      <w:color w:val="auto"/>
                      <w:kern w:val="0"/>
                      <w:sz w:val="21"/>
                      <w:szCs w:val="21"/>
                      <w:vertAlign w:val="baseline"/>
                      <w:lang w:val="en-US" w:eastAsia="zh-CN"/>
                    </w:rPr>
                    <w:t>涉及环境敏感区（不包括饮用水水源保护区，以居住、医疗卫生、文化教育、科研、行政办公为主要功能的区域，以及文物保护单位）的项目</w:t>
                  </w:r>
                </w:p>
              </w:tc>
              <w:tc>
                <w:tcPr>
                  <w:tcW w:w="2135" w:type="dxa"/>
                  <w:tcBorders>
                    <w:tl2br w:val="nil"/>
                    <w:tr2bl w:val="nil"/>
                  </w:tcBorders>
                  <w:vAlign w:val="center"/>
                </w:tcPr>
                <w:p w14:paraId="20A7325D">
                  <w:pPr>
                    <w:autoSpaceDE w:val="0"/>
                    <w:autoSpaceDN w:val="0"/>
                    <w:adjustRightInd w:val="0"/>
                    <w:snapToGrid w:val="0"/>
                    <w:jc w:val="center"/>
                    <w:rPr>
                      <w:rFonts w:hint="default" w:ascii="宋体" w:hAnsi="宋体" w:cs="宋体"/>
                      <w:color w:val="auto"/>
                      <w:kern w:val="0"/>
                      <w:sz w:val="21"/>
                      <w:szCs w:val="21"/>
                      <w:vertAlign w:val="baseline"/>
                      <w:lang w:val="en-US" w:eastAsia="zh-CN"/>
                    </w:rPr>
                  </w:pPr>
                  <w:r>
                    <w:rPr>
                      <w:rFonts w:hint="eastAsia" w:ascii="宋体" w:hAnsi="宋体" w:cs="宋体"/>
                      <w:color w:val="auto"/>
                      <w:kern w:val="0"/>
                      <w:sz w:val="21"/>
                      <w:szCs w:val="21"/>
                      <w:vertAlign w:val="baseline"/>
                      <w:lang w:val="en-US" w:eastAsia="zh-CN"/>
                    </w:rPr>
                    <w:t>不涉及</w:t>
                  </w:r>
                  <w:r>
                    <w:rPr>
                      <w:rFonts w:hint="default" w:ascii="宋体" w:hAnsi="宋体" w:cs="宋体"/>
                      <w:color w:val="auto"/>
                      <w:kern w:val="0"/>
                      <w:sz w:val="21"/>
                      <w:szCs w:val="21"/>
                      <w:vertAlign w:val="baseline"/>
                      <w:lang w:val="en-US" w:eastAsia="zh-CN"/>
                    </w:rPr>
                    <w:t>环境敏感区</w:t>
                  </w:r>
                  <w:r>
                    <w:rPr>
                      <w:rFonts w:hint="eastAsia" w:ascii="宋体" w:hAnsi="宋体" w:cs="宋体"/>
                      <w:color w:val="auto"/>
                      <w:kern w:val="0"/>
                      <w:sz w:val="21"/>
                      <w:szCs w:val="21"/>
                      <w:vertAlign w:val="baseline"/>
                      <w:lang w:val="en-US" w:eastAsia="zh-CN"/>
                    </w:rPr>
                    <w:t>，无需设置生态专项。</w:t>
                  </w:r>
                </w:p>
              </w:tc>
            </w:tr>
            <w:tr w14:paraId="61B2F2F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tcBorders>
                    <w:tl2br w:val="nil"/>
                    <w:tr2bl w:val="nil"/>
                  </w:tcBorders>
                  <w:vAlign w:val="center"/>
                </w:tcPr>
                <w:p w14:paraId="2572CE32">
                  <w:pPr>
                    <w:autoSpaceDE w:val="0"/>
                    <w:autoSpaceDN w:val="0"/>
                    <w:adjustRightInd w:val="0"/>
                    <w:snapToGrid w:val="0"/>
                    <w:jc w:val="center"/>
                    <w:rPr>
                      <w:rFonts w:hint="eastAsia" w:ascii="宋体" w:hAnsi="宋体" w:cs="宋体"/>
                      <w:color w:val="auto"/>
                      <w:kern w:val="0"/>
                      <w:sz w:val="21"/>
                      <w:szCs w:val="21"/>
                      <w:vertAlign w:val="baseline"/>
                      <w:lang w:val="en-US" w:eastAsia="zh-CN"/>
                    </w:rPr>
                  </w:pPr>
                  <w:r>
                    <w:rPr>
                      <w:rFonts w:hint="eastAsia" w:ascii="宋体" w:hAnsi="宋体" w:cs="宋体"/>
                      <w:color w:val="auto"/>
                      <w:kern w:val="0"/>
                      <w:sz w:val="21"/>
                      <w:szCs w:val="21"/>
                      <w:vertAlign w:val="baseline"/>
                      <w:lang w:val="en-US" w:eastAsia="zh-CN"/>
                    </w:rPr>
                    <w:t>地下水</w:t>
                  </w:r>
                </w:p>
              </w:tc>
              <w:tc>
                <w:tcPr>
                  <w:tcW w:w="4777" w:type="dxa"/>
                  <w:tcBorders>
                    <w:tl2br w:val="nil"/>
                    <w:tr2bl w:val="nil"/>
                  </w:tcBorders>
                  <w:vAlign w:val="center"/>
                </w:tcPr>
                <w:p w14:paraId="15CE2770">
                  <w:pPr>
                    <w:autoSpaceDE w:val="0"/>
                    <w:autoSpaceDN w:val="0"/>
                    <w:adjustRightInd w:val="0"/>
                    <w:snapToGrid w:val="0"/>
                    <w:jc w:val="left"/>
                    <w:rPr>
                      <w:rFonts w:hint="default" w:ascii="宋体" w:hAnsi="宋体" w:cs="宋体"/>
                      <w:color w:val="auto"/>
                      <w:kern w:val="0"/>
                      <w:sz w:val="21"/>
                      <w:szCs w:val="21"/>
                      <w:vertAlign w:val="baseline"/>
                      <w:lang w:val="en-US" w:eastAsia="zh-CN"/>
                    </w:rPr>
                  </w:pPr>
                  <w:r>
                    <w:rPr>
                      <w:rFonts w:hint="default" w:ascii="宋体" w:hAnsi="宋体" w:cs="宋体"/>
                      <w:color w:val="auto"/>
                      <w:kern w:val="0"/>
                      <w:sz w:val="21"/>
                      <w:szCs w:val="21"/>
                      <w:vertAlign w:val="baseline"/>
                      <w:lang w:val="en-US" w:eastAsia="zh-CN"/>
                    </w:rPr>
                    <w:t>陆地石油和天然气开采：全部；</w:t>
                  </w:r>
                </w:p>
                <w:p w14:paraId="367C8715">
                  <w:pPr>
                    <w:autoSpaceDE w:val="0"/>
                    <w:autoSpaceDN w:val="0"/>
                    <w:adjustRightInd w:val="0"/>
                    <w:snapToGrid w:val="0"/>
                    <w:jc w:val="left"/>
                    <w:rPr>
                      <w:rFonts w:hint="default" w:ascii="宋体" w:hAnsi="宋体" w:cs="宋体"/>
                      <w:color w:val="auto"/>
                      <w:kern w:val="0"/>
                      <w:sz w:val="21"/>
                      <w:szCs w:val="21"/>
                      <w:vertAlign w:val="baseline"/>
                      <w:lang w:val="en-US" w:eastAsia="zh-CN"/>
                    </w:rPr>
                  </w:pPr>
                  <w:r>
                    <w:rPr>
                      <w:rFonts w:hint="default" w:ascii="宋体" w:hAnsi="宋体" w:cs="宋体"/>
                      <w:color w:val="auto"/>
                      <w:kern w:val="0"/>
                      <w:sz w:val="21"/>
                      <w:szCs w:val="21"/>
                      <w:vertAlign w:val="baseline"/>
                      <w:lang w:val="en-US" w:eastAsia="zh-CN"/>
                    </w:rPr>
                    <w:t>地下水（含矿泉水）开采：全部；</w:t>
                  </w:r>
                </w:p>
                <w:p w14:paraId="0BC08AFB">
                  <w:pPr>
                    <w:autoSpaceDE w:val="0"/>
                    <w:autoSpaceDN w:val="0"/>
                    <w:adjustRightInd w:val="0"/>
                    <w:snapToGrid w:val="0"/>
                    <w:jc w:val="left"/>
                    <w:rPr>
                      <w:rFonts w:hint="default" w:ascii="宋体" w:hAnsi="宋体" w:cs="宋体"/>
                      <w:color w:val="auto"/>
                      <w:kern w:val="0"/>
                      <w:sz w:val="21"/>
                      <w:szCs w:val="21"/>
                      <w:vertAlign w:val="baseline"/>
                      <w:lang w:val="en-US" w:eastAsia="zh-CN"/>
                    </w:rPr>
                  </w:pPr>
                  <w:r>
                    <w:rPr>
                      <w:rFonts w:hint="default" w:ascii="宋体" w:hAnsi="宋体" w:cs="宋体"/>
                      <w:color w:val="auto"/>
                      <w:kern w:val="0"/>
                      <w:sz w:val="21"/>
                      <w:szCs w:val="21"/>
                      <w:vertAlign w:val="baseline"/>
                      <w:lang w:val="en-US" w:eastAsia="zh-CN"/>
                    </w:rPr>
                    <w:t>水利、水电、交通等：含穿越可溶岩地层隧道的项目</w:t>
                  </w:r>
                </w:p>
              </w:tc>
              <w:tc>
                <w:tcPr>
                  <w:tcW w:w="2135" w:type="dxa"/>
                  <w:tcBorders>
                    <w:tl2br w:val="nil"/>
                    <w:tr2bl w:val="nil"/>
                  </w:tcBorders>
                  <w:vAlign w:val="center"/>
                </w:tcPr>
                <w:p w14:paraId="259A156C">
                  <w:pPr>
                    <w:autoSpaceDE w:val="0"/>
                    <w:autoSpaceDN w:val="0"/>
                    <w:adjustRightInd w:val="0"/>
                    <w:snapToGrid w:val="0"/>
                    <w:jc w:val="center"/>
                    <w:rPr>
                      <w:rFonts w:hint="default" w:ascii="宋体" w:hAnsi="宋体" w:cs="宋体"/>
                      <w:color w:val="auto"/>
                      <w:kern w:val="0"/>
                      <w:sz w:val="21"/>
                      <w:szCs w:val="21"/>
                      <w:vertAlign w:val="baseline"/>
                      <w:lang w:val="en-US" w:eastAsia="zh-CN"/>
                    </w:rPr>
                  </w:pPr>
                  <w:r>
                    <w:rPr>
                      <w:rFonts w:hint="eastAsia" w:ascii="宋体" w:hAnsi="宋体" w:cs="宋体"/>
                      <w:color w:val="auto"/>
                      <w:kern w:val="0"/>
                      <w:sz w:val="21"/>
                      <w:szCs w:val="21"/>
                      <w:vertAlign w:val="baseline"/>
                      <w:lang w:val="en-US" w:eastAsia="zh-CN"/>
                    </w:rPr>
                    <w:t>本项目不涉及陆地油气开采、地下水开采，不涉及穿越可溶岩隧道，无需设置地下水专项。</w:t>
                  </w:r>
                </w:p>
              </w:tc>
            </w:tr>
            <w:tr w14:paraId="155F08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tcBorders>
                    <w:tl2br w:val="nil"/>
                    <w:tr2bl w:val="nil"/>
                  </w:tcBorders>
                  <w:vAlign w:val="center"/>
                </w:tcPr>
                <w:p w14:paraId="2D0EE6A2">
                  <w:pPr>
                    <w:autoSpaceDE w:val="0"/>
                    <w:autoSpaceDN w:val="0"/>
                    <w:adjustRightInd w:val="0"/>
                    <w:snapToGrid w:val="0"/>
                    <w:jc w:val="center"/>
                    <w:rPr>
                      <w:rFonts w:hint="eastAsia" w:ascii="宋体" w:hAnsi="宋体" w:cs="宋体"/>
                      <w:color w:val="auto"/>
                      <w:kern w:val="0"/>
                      <w:sz w:val="21"/>
                      <w:szCs w:val="21"/>
                      <w:vertAlign w:val="baseline"/>
                      <w:lang w:val="en-US" w:eastAsia="zh-CN"/>
                    </w:rPr>
                  </w:pPr>
                  <w:r>
                    <w:rPr>
                      <w:rFonts w:hint="eastAsia" w:ascii="宋体" w:hAnsi="宋体" w:cs="宋体"/>
                      <w:color w:val="auto"/>
                      <w:kern w:val="0"/>
                      <w:sz w:val="21"/>
                      <w:szCs w:val="21"/>
                      <w:vertAlign w:val="baseline"/>
                      <w:lang w:val="en-US" w:eastAsia="zh-CN"/>
                    </w:rPr>
                    <w:t>噪声</w:t>
                  </w:r>
                </w:p>
              </w:tc>
              <w:tc>
                <w:tcPr>
                  <w:tcW w:w="4777" w:type="dxa"/>
                  <w:tcBorders>
                    <w:tl2br w:val="nil"/>
                    <w:tr2bl w:val="nil"/>
                  </w:tcBorders>
                  <w:vAlign w:val="center"/>
                </w:tcPr>
                <w:p w14:paraId="6C9A2D5B">
                  <w:pPr>
                    <w:autoSpaceDE w:val="0"/>
                    <w:autoSpaceDN w:val="0"/>
                    <w:adjustRightInd w:val="0"/>
                    <w:snapToGrid w:val="0"/>
                    <w:jc w:val="left"/>
                    <w:rPr>
                      <w:rFonts w:hint="default" w:ascii="宋体" w:hAnsi="宋体" w:cs="宋体"/>
                      <w:color w:val="auto"/>
                      <w:kern w:val="0"/>
                      <w:sz w:val="21"/>
                      <w:szCs w:val="21"/>
                      <w:vertAlign w:val="baseline"/>
                      <w:lang w:val="en-US" w:eastAsia="zh-CN"/>
                    </w:rPr>
                  </w:pPr>
                  <w:r>
                    <w:rPr>
                      <w:rFonts w:hint="default" w:ascii="宋体" w:hAnsi="宋体" w:cs="宋体"/>
                      <w:color w:val="auto"/>
                      <w:kern w:val="0"/>
                      <w:sz w:val="21"/>
                      <w:szCs w:val="21"/>
                      <w:vertAlign w:val="baseline"/>
                      <w:lang w:val="en-US" w:eastAsia="zh-CN"/>
                    </w:rPr>
                    <w:t>公路、铁路、机场等交通运输业涉及环境敏感区（以居住、医疗卫生、文化</w:t>
                  </w:r>
                </w:p>
                <w:p w14:paraId="45C3251F">
                  <w:pPr>
                    <w:autoSpaceDE w:val="0"/>
                    <w:autoSpaceDN w:val="0"/>
                    <w:adjustRightInd w:val="0"/>
                    <w:snapToGrid w:val="0"/>
                    <w:jc w:val="left"/>
                    <w:rPr>
                      <w:rFonts w:hint="default" w:ascii="宋体" w:hAnsi="宋体" w:cs="宋体"/>
                      <w:color w:val="auto"/>
                      <w:kern w:val="0"/>
                      <w:sz w:val="21"/>
                      <w:szCs w:val="21"/>
                      <w:vertAlign w:val="baseline"/>
                      <w:lang w:val="en-US" w:eastAsia="zh-CN"/>
                    </w:rPr>
                  </w:pPr>
                  <w:r>
                    <w:rPr>
                      <w:rFonts w:hint="default" w:ascii="宋体" w:hAnsi="宋体" w:cs="宋体"/>
                      <w:color w:val="auto"/>
                      <w:kern w:val="0"/>
                      <w:sz w:val="21"/>
                      <w:szCs w:val="21"/>
                      <w:vertAlign w:val="baseline"/>
                      <w:lang w:val="en-US" w:eastAsia="zh-CN"/>
                    </w:rPr>
                    <w:t>教育、科研、行政办公为主要功能的区域）的项目；</w:t>
                  </w:r>
                </w:p>
                <w:p w14:paraId="1C14E13E">
                  <w:pPr>
                    <w:autoSpaceDE w:val="0"/>
                    <w:autoSpaceDN w:val="0"/>
                    <w:adjustRightInd w:val="0"/>
                    <w:snapToGrid w:val="0"/>
                    <w:jc w:val="left"/>
                    <w:rPr>
                      <w:rFonts w:hint="default" w:ascii="宋体" w:hAnsi="宋体" w:cs="宋体"/>
                      <w:color w:val="auto"/>
                      <w:kern w:val="0"/>
                      <w:sz w:val="21"/>
                      <w:szCs w:val="21"/>
                      <w:vertAlign w:val="baseline"/>
                      <w:lang w:val="en-US" w:eastAsia="zh-CN"/>
                    </w:rPr>
                  </w:pPr>
                  <w:r>
                    <w:rPr>
                      <w:rFonts w:hint="default" w:ascii="宋体" w:hAnsi="宋体" w:cs="宋体"/>
                      <w:color w:val="auto"/>
                      <w:kern w:val="0"/>
                      <w:sz w:val="21"/>
                      <w:szCs w:val="21"/>
                      <w:vertAlign w:val="baseline"/>
                      <w:lang w:val="en-US" w:eastAsia="zh-CN"/>
                    </w:rPr>
                    <w:t>城市道路（不含维护，不含支路、人行天桥、人行地道）：全部</w:t>
                  </w:r>
                </w:p>
              </w:tc>
              <w:tc>
                <w:tcPr>
                  <w:tcW w:w="2135" w:type="dxa"/>
                  <w:tcBorders>
                    <w:tl2br w:val="nil"/>
                    <w:tr2bl w:val="nil"/>
                  </w:tcBorders>
                  <w:vAlign w:val="center"/>
                </w:tcPr>
                <w:p w14:paraId="4B809FC8">
                  <w:pPr>
                    <w:autoSpaceDE w:val="0"/>
                    <w:autoSpaceDN w:val="0"/>
                    <w:adjustRightInd w:val="0"/>
                    <w:snapToGrid w:val="0"/>
                    <w:jc w:val="center"/>
                    <w:rPr>
                      <w:rFonts w:hint="default" w:ascii="宋体" w:hAnsi="宋体" w:cs="宋体"/>
                      <w:color w:val="auto"/>
                      <w:kern w:val="0"/>
                      <w:sz w:val="21"/>
                      <w:szCs w:val="21"/>
                      <w:vertAlign w:val="baseline"/>
                      <w:lang w:val="en-US" w:eastAsia="zh-CN"/>
                    </w:rPr>
                  </w:pPr>
                  <w:r>
                    <w:rPr>
                      <w:rFonts w:hint="eastAsia" w:ascii="宋体" w:hAnsi="宋体" w:cs="宋体"/>
                      <w:color w:val="auto"/>
                      <w:kern w:val="0"/>
                      <w:sz w:val="21"/>
                      <w:szCs w:val="21"/>
                      <w:vertAlign w:val="baseline"/>
                      <w:lang w:val="en-US" w:eastAsia="zh-CN"/>
                    </w:rPr>
                    <w:t>本项目不含公路、铁路、机场、新建城市快速路/主干路，不设置。</w:t>
                  </w:r>
                </w:p>
              </w:tc>
            </w:tr>
            <w:tr w14:paraId="4289A0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tcBorders>
                    <w:tl2br w:val="nil"/>
                    <w:tr2bl w:val="nil"/>
                  </w:tcBorders>
                  <w:vAlign w:val="center"/>
                </w:tcPr>
                <w:p w14:paraId="1B3782F9">
                  <w:pPr>
                    <w:autoSpaceDE w:val="0"/>
                    <w:autoSpaceDN w:val="0"/>
                    <w:adjustRightInd w:val="0"/>
                    <w:snapToGrid w:val="0"/>
                    <w:jc w:val="center"/>
                    <w:rPr>
                      <w:rFonts w:hint="eastAsia" w:ascii="宋体" w:hAnsi="宋体" w:cs="宋体"/>
                      <w:color w:val="auto"/>
                      <w:kern w:val="0"/>
                      <w:sz w:val="21"/>
                      <w:szCs w:val="21"/>
                      <w:vertAlign w:val="baseline"/>
                      <w:lang w:val="en-US" w:eastAsia="zh-CN"/>
                    </w:rPr>
                  </w:pPr>
                  <w:r>
                    <w:rPr>
                      <w:rFonts w:hint="eastAsia" w:ascii="宋体" w:hAnsi="宋体" w:cs="宋体"/>
                      <w:color w:val="auto"/>
                      <w:kern w:val="0"/>
                      <w:sz w:val="21"/>
                      <w:szCs w:val="21"/>
                      <w:vertAlign w:val="baseline"/>
                      <w:lang w:val="en-US" w:eastAsia="zh-CN"/>
                    </w:rPr>
                    <w:t>环境风险</w:t>
                  </w:r>
                </w:p>
              </w:tc>
              <w:tc>
                <w:tcPr>
                  <w:tcW w:w="4777" w:type="dxa"/>
                  <w:tcBorders>
                    <w:tl2br w:val="nil"/>
                    <w:tr2bl w:val="nil"/>
                  </w:tcBorders>
                  <w:vAlign w:val="center"/>
                </w:tcPr>
                <w:p w14:paraId="114752F1">
                  <w:pPr>
                    <w:autoSpaceDE w:val="0"/>
                    <w:autoSpaceDN w:val="0"/>
                    <w:adjustRightInd w:val="0"/>
                    <w:snapToGrid w:val="0"/>
                    <w:jc w:val="left"/>
                    <w:rPr>
                      <w:rFonts w:hint="default" w:ascii="宋体" w:hAnsi="宋体" w:cs="宋体"/>
                      <w:color w:val="auto"/>
                      <w:kern w:val="0"/>
                      <w:sz w:val="21"/>
                      <w:szCs w:val="21"/>
                      <w:vertAlign w:val="baseline"/>
                      <w:lang w:val="en-US" w:eastAsia="zh-CN"/>
                    </w:rPr>
                  </w:pPr>
                  <w:r>
                    <w:rPr>
                      <w:rFonts w:hint="default" w:ascii="宋体" w:hAnsi="宋体" w:cs="宋体"/>
                      <w:color w:val="auto"/>
                      <w:kern w:val="0"/>
                      <w:sz w:val="21"/>
                      <w:szCs w:val="21"/>
                      <w:vertAlign w:val="baseline"/>
                      <w:lang w:val="en-US" w:eastAsia="zh-CN"/>
                    </w:rPr>
                    <w:t>石油和天然气开采：全部；</w:t>
                  </w:r>
                </w:p>
                <w:p w14:paraId="12198599">
                  <w:pPr>
                    <w:autoSpaceDE w:val="0"/>
                    <w:autoSpaceDN w:val="0"/>
                    <w:adjustRightInd w:val="0"/>
                    <w:snapToGrid w:val="0"/>
                    <w:jc w:val="left"/>
                    <w:rPr>
                      <w:rFonts w:hint="default" w:ascii="宋体" w:hAnsi="宋体" w:cs="宋体"/>
                      <w:color w:val="auto"/>
                      <w:kern w:val="0"/>
                      <w:sz w:val="21"/>
                      <w:szCs w:val="21"/>
                      <w:vertAlign w:val="baseline"/>
                      <w:lang w:val="en-US" w:eastAsia="zh-CN"/>
                    </w:rPr>
                  </w:pPr>
                  <w:r>
                    <w:rPr>
                      <w:rFonts w:hint="default" w:ascii="宋体" w:hAnsi="宋体" w:cs="宋体"/>
                      <w:color w:val="auto"/>
                      <w:kern w:val="0"/>
                      <w:sz w:val="21"/>
                      <w:szCs w:val="21"/>
                      <w:vertAlign w:val="baseline"/>
                      <w:lang w:val="en-US" w:eastAsia="zh-CN"/>
                    </w:rPr>
                    <w:t>油气、液体化工码头：全部；</w:t>
                  </w:r>
                </w:p>
                <w:p w14:paraId="4365DBF1">
                  <w:pPr>
                    <w:autoSpaceDE w:val="0"/>
                    <w:autoSpaceDN w:val="0"/>
                    <w:adjustRightInd w:val="0"/>
                    <w:snapToGrid w:val="0"/>
                    <w:jc w:val="left"/>
                    <w:rPr>
                      <w:rFonts w:hint="default" w:ascii="宋体" w:hAnsi="宋体" w:cs="宋体"/>
                      <w:color w:val="auto"/>
                      <w:kern w:val="0"/>
                      <w:sz w:val="21"/>
                      <w:szCs w:val="21"/>
                      <w:vertAlign w:val="baseline"/>
                      <w:lang w:val="en-US" w:eastAsia="zh-CN"/>
                    </w:rPr>
                  </w:pPr>
                  <w:r>
                    <w:rPr>
                      <w:rFonts w:hint="default" w:ascii="宋体" w:hAnsi="宋体" w:cs="宋体"/>
                      <w:color w:val="auto"/>
                      <w:kern w:val="0"/>
                      <w:sz w:val="21"/>
                      <w:szCs w:val="21"/>
                      <w:vertAlign w:val="baseline"/>
                      <w:lang w:val="en-US" w:eastAsia="zh-CN"/>
                    </w:rPr>
                    <w:t>原油、成品油、天然气管线（不含城镇天然气管线、企业厂区内管线），危</w:t>
                  </w:r>
                </w:p>
                <w:p w14:paraId="5AE4AC84">
                  <w:pPr>
                    <w:autoSpaceDE w:val="0"/>
                    <w:autoSpaceDN w:val="0"/>
                    <w:adjustRightInd w:val="0"/>
                    <w:snapToGrid w:val="0"/>
                    <w:jc w:val="left"/>
                    <w:rPr>
                      <w:rFonts w:hint="default" w:ascii="宋体" w:hAnsi="宋体" w:cs="宋体"/>
                      <w:color w:val="auto"/>
                      <w:kern w:val="0"/>
                      <w:sz w:val="21"/>
                      <w:szCs w:val="21"/>
                      <w:vertAlign w:val="baseline"/>
                      <w:lang w:val="en-US" w:eastAsia="zh-CN"/>
                    </w:rPr>
                  </w:pPr>
                  <w:r>
                    <w:rPr>
                      <w:rFonts w:hint="default" w:ascii="宋体" w:hAnsi="宋体" w:cs="宋体"/>
                      <w:color w:val="auto"/>
                      <w:kern w:val="0"/>
                      <w:sz w:val="21"/>
                      <w:szCs w:val="21"/>
                      <w:vertAlign w:val="baseline"/>
                      <w:lang w:val="en-US" w:eastAsia="zh-CN"/>
                    </w:rPr>
                    <w:t>险化学品输送管线（不含企业厂区内管线）：全部</w:t>
                  </w:r>
                </w:p>
              </w:tc>
              <w:tc>
                <w:tcPr>
                  <w:tcW w:w="2135" w:type="dxa"/>
                  <w:tcBorders>
                    <w:tl2br w:val="nil"/>
                    <w:tr2bl w:val="nil"/>
                  </w:tcBorders>
                  <w:vAlign w:val="center"/>
                </w:tcPr>
                <w:p w14:paraId="71DFAA38">
                  <w:pPr>
                    <w:autoSpaceDE w:val="0"/>
                    <w:autoSpaceDN w:val="0"/>
                    <w:adjustRightInd w:val="0"/>
                    <w:snapToGrid w:val="0"/>
                    <w:jc w:val="center"/>
                    <w:rPr>
                      <w:rFonts w:hint="default" w:ascii="宋体" w:hAnsi="宋体" w:cs="宋体"/>
                      <w:color w:val="auto"/>
                      <w:kern w:val="0"/>
                      <w:sz w:val="21"/>
                      <w:szCs w:val="21"/>
                      <w:vertAlign w:val="baseline"/>
                      <w:lang w:val="en-US" w:eastAsia="zh-CN"/>
                    </w:rPr>
                  </w:pPr>
                  <w:r>
                    <w:rPr>
                      <w:rFonts w:hint="eastAsia" w:ascii="宋体" w:hAnsi="宋体" w:cs="宋体"/>
                      <w:color w:val="auto"/>
                      <w:kern w:val="0"/>
                      <w:sz w:val="21"/>
                      <w:szCs w:val="21"/>
                      <w:vertAlign w:val="baseline"/>
                      <w:lang w:val="en-US" w:eastAsia="zh-CN"/>
                    </w:rPr>
                    <w:t>本项目不含油气开采、码头、油气管线、危化品输送管线，不设置。</w:t>
                  </w:r>
                </w:p>
              </w:tc>
            </w:tr>
          </w:tbl>
          <w:p w14:paraId="20FE34E1">
            <w:pPr>
              <w:keepNext w:val="0"/>
              <w:keepLines w:val="0"/>
              <w:pageBreakBefore w:val="0"/>
              <w:widowControl w:val="0"/>
              <w:kinsoku/>
              <w:wordWrap/>
              <w:overflowPunct/>
              <w:topLinePunct w:val="0"/>
              <w:autoSpaceDE w:val="0"/>
              <w:autoSpaceDN w:val="0"/>
              <w:bidi w:val="0"/>
              <w:adjustRightInd w:val="0"/>
              <w:snapToGrid w:val="0"/>
              <w:spacing w:line="240" w:lineRule="auto"/>
              <w:ind w:firstLine="420" w:firstLineChars="200"/>
              <w:jc w:val="left"/>
              <w:textAlignment w:val="auto"/>
              <w:rPr>
                <w:rFonts w:hint="eastAsia" w:ascii="宋体" w:hAnsi="宋体" w:cs="宋体"/>
                <w:color w:val="auto"/>
                <w:kern w:val="0"/>
                <w:sz w:val="21"/>
                <w:szCs w:val="21"/>
                <w:lang w:val="en-US" w:eastAsia="zh-CN"/>
              </w:rPr>
            </w:pPr>
            <w:r>
              <w:rPr>
                <w:rFonts w:hint="eastAsia" w:ascii="宋体" w:hAnsi="宋体" w:cs="宋体"/>
                <w:color w:val="auto"/>
                <w:kern w:val="0"/>
                <w:sz w:val="21"/>
                <w:szCs w:val="21"/>
                <w:lang w:val="en-US" w:eastAsia="zh-CN"/>
              </w:rPr>
              <w:t>注：根据《关于公布〈岳阳楼区一般湿地名录（第一批）〉的通知》（岳楼政办函〔2023〕40号），王家河为一般湿地，不属于《建设项目环境影响评价分类管理名录（2021年版）》中界定的“重要湿地”等环境敏感区。</w:t>
            </w:r>
          </w:p>
          <w:p w14:paraId="5490FE82">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jc w:val="left"/>
              <w:textAlignment w:val="auto"/>
              <w:rPr>
                <w:rFonts w:hint="eastAsia" w:ascii="宋体" w:hAnsi="宋体" w:eastAsia="宋体" w:cs="宋体"/>
                <w:color w:val="FF0000"/>
                <w:kern w:val="0"/>
                <w:sz w:val="24"/>
                <w:szCs w:val="24"/>
                <w:lang w:eastAsia="zh-CN"/>
              </w:rPr>
            </w:pPr>
            <w:r>
              <w:rPr>
                <w:rFonts w:hint="eastAsia" w:ascii="宋体" w:hAnsi="宋体" w:cs="宋体"/>
                <w:color w:val="auto"/>
                <w:kern w:val="0"/>
                <w:sz w:val="24"/>
                <w:szCs w:val="24"/>
                <w:lang w:val="en-US" w:eastAsia="zh-CN"/>
              </w:rPr>
              <w:t>结论：因此，本项目无需设置专项评价。</w:t>
            </w:r>
          </w:p>
        </w:tc>
      </w:tr>
      <w:tr w14:paraId="362BBC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726" w:type="dxa"/>
            <w:gridSpan w:val="2"/>
            <w:vAlign w:val="center"/>
          </w:tcPr>
          <w:p w14:paraId="63AB7418">
            <w:pPr>
              <w:autoSpaceDE w:val="0"/>
              <w:autoSpaceDN w:val="0"/>
              <w:adjustRightInd w:val="0"/>
              <w:snapToGrid w:val="0"/>
              <w:jc w:val="center"/>
              <w:rPr>
                <w:rFonts w:hint="eastAsia" w:ascii="宋体" w:hAnsi="宋体" w:cs="宋体"/>
                <w:color w:val="auto"/>
                <w:kern w:val="0"/>
                <w:sz w:val="24"/>
                <w:szCs w:val="24"/>
              </w:rPr>
            </w:pPr>
            <w:r>
              <w:rPr>
                <w:rFonts w:hint="eastAsia" w:ascii="宋体" w:hAnsi="宋体" w:cs="宋体"/>
                <w:color w:val="auto"/>
                <w:sz w:val="24"/>
                <w:szCs w:val="24"/>
              </w:rPr>
              <w:t>规划情况</w:t>
            </w:r>
          </w:p>
        </w:tc>
        <w:tc>
          <w:tcPr>
            <w:tcW w:w="8144" w:type="dxa"/>
            <w:gridSpan w:val="5"/>
            <w:vAlign w:val="center"/>
          </w:tcPr>
          <w:p w14:paraId="441B5AD6">
            <w:pPr>
              <w:keepNext w:val="0"/>
              <w:keepLines w:val="0"/>
              <w:pageBreakBefore w:val="0"/>
              <w:widowControl w:val="0"/>
              <w:kinsoku/>
              <w:wordWrap/>
              <w:overflowPunct/>
              <w:topLinePunct w:val="0"/>
              <w:autoSpaceDE w:val="0"/>
              <w:autoSpaceDN w:val="0"/>
              <w:bidi w:val="0"/>
              <w:adjustRightInd w:val="0"/>
              <w:snapToGrid w:val="0"/>
              <w:spacing w:line="360" w:lineRule="auto"/>
              <w:textAlignment w:val="auto"/>
              <w:rPr>
                <w:rFonts w:hint="eastAsia" w:ascii="宋体" w:hAnsi="宋体" w:cs="宋体"/>
                <w:color w:val="auto"/>
                <w:kern w:val="0"/>
                <w:sz w:val="24"/>
                <w:szCs w:val="24"/>
                <w:lang w:eastAsia="zh-CN"/>
              </w:rPr>
            </w:pPr>
            <w:r>
              <w:rPr>
                <w:rFonts w:hint="eastAsia" w:ascii="宋体" w:hAnsi="宋体" w:cs="宋体"/>
                <w:color w:val="auto"/>
                <w:kern w:val="0"/>
                <w:sz w:val="24"/>
                <w:szCs w:val="24"/>
                <w:lang w:eastAsia="zh-CN"/>
              </w:rPr>
              <w:t>规划名称：《岳阳市主城区排水（雨水）防涝综合规划》（</w:t>
            </w:r>
            <w:r>
              <w:rPr>
                <w:rFonts w:hint="default" w:ascii="Times New Roman" w:hAnsi="Times New Roman" w:cs="Times New Roman"/>
                <w:color w:val="auto"/>
                <w:kern w:val="0"/>
                <w:sz w:val="24"/>
                <w:szCs w:val="24"/>
                <w:lang w:eastAsia="zh-CN"/>
              </w:rPr>
              <w:t>2015</w:t>
            </w:r>
            <w:r>
              <w:rPr>
                <w:rFonts w:hint="default" w:ascii="Times New Roman" w:hAnsi="Times New Roman" w:cs="Times New Roman"/>
                <w:color w:val="auto"/>
                <w:kern w:val="0"/>
                <w:sz w:val="24"/>
                <w:szCs w:val="24"/>
                <w:lang w:val="en-US" w:eastAsia="zh-CN"/>
              </w:rPr>
              <w:t>~</w:t>
            </w:r>
            <w:r>
              <w:rPr>
                <w:rFonts w:hint="default" w:ascii="Times New Roman" w:hAnsi="Times New Roman" w:cs="Times New Roman"/>
                <w:color w:val="auto"/>
                <w:kern w:val="0"/>
                <w:sz w:val="24"/>
                <w:szCs w:val="24"/>
                <w:lang w:eastAsia="zh-CN"/>
              </w:rPr>
              <w:t>2030</w:t>
            </w:r>
            <w:r>
              <w:rPr>
                <w:rFonts w:hint="eastAsia" w:ascii="宋体" w:hAnsi="宋体" w:cs="宋体"/>
                <w:color w:val="auto"/>
                <w:kern w:val="0"/>
                <w:sz w:val="24"/>
                <w:szCs w:val="24"/>
                <w:lang w:eastAsia="zh-CN"/>
              </w:rPr>
              <w:t>年）、《岳阳市海绵城市专项规划》（</w:t>
            </w:r>
            <w:r>
              <w:rPr>
                <w:rFonts w:hint="default" w:ascii="Times New Roman" w:hAnsi="Times New Roman" w:cs="Times New Roman"/>
                <w:color w:val="auto"/>
                <w:kern w:val="0"/>
                <w:sz w:val="24"/>
                <w:szCs w:val="24"/>
                <w:lang w:eastAsia="zh-CN"/>
              </w:rPr>
              <w:t>2016~2030</w:t>
            </w:r>
            <w:r>
              <w:rPr>
                <w:rFonts w:hint="eastAsia" w:ascii="宋体" w:hAnsi="宋体" w:cs="宋体"/>
                <w:color w:val="auto"/>
                <w:kern w:val="0"/>
                <w:sz w:val="24"/>
                <w:szCs w:val="24"/>
                <w:lang w:eastAsia="zh-CN"/>
              </w:rPr>
              <w:t>年）</w:t>
            </w:r>
          </w:p>
          <w:p w14:paraId="3F9F9C58">
            <w:pPr>
              <w:keepNext w:val="0"/>
              <w:keepLines w:val="0"/>
              <w:pageBreakBefore w:val="0"/>
              <w:widowControl w:val="0"/>
              <w:kinsoku/>
              <w:wordWrap/>
              <w:overflowPunct/>
              <w:topLinePunct w:val="0"/>
              <w:autoSpaceDE w:val="0"/>
              <w:autoSpaceDN w:val="0"/>
              <w:bidi w:val="0"/>
              <w:adjustRightInd w:val="0"/>
              <w:snapToGrid w:val="0"/>
              <w:spacing w:line="360" w:lineRule="auto"/>
              <w:textAlignment w:val="auto"/>
              <w:rPr>
                <w:rFonts w:hint="eastAsia" w:ascii="宋体" w:hAnsi="宋体" w:cs="宋体"/>
                <w:color w:val="auto"/>
                <w:kern w:val="0"/>
                <w:sz w:val="24"/>
                <w:szCs w:val="24"/>
                <w:lang w:eastAsia="zh-CN"/>
              </w:rPr>
            </w:pPr>
            <w:r>
              <w:rPr>
                <w:rFonts w:hint="eastAsia" w:ascii="宋体" w:hAnsi="宋体" w:cs="宋体"/>
                <w:color w:val="auto"/>
                <w:kern w:val="0"/>
                <w:sz w:val="24"/>
                <w:szCs w:val="24"/>
                <w:lang w:eastAsia="zh-CN"/>
              </w:rPr>
              <w:t>审批机关：</w:t>
            </w:r>
            <w:r>
              <w:rPr>
                <w:rFonts w:hint="eastAsia" w:ascii="宋体" w:hAnsi="宋体" w:cs="宋体"/>
                <w:color w:val="auto"/>
                <w:kern w:val="0"/>
                <w:sz w:val="24"/>
                <w:szCs w:val="24"/>
                <w:lang w:val="en-US" w:eastAsia="zh-CN"/>
              </w:rPr>
              <w:t>岳阳市人民政府/岳阳市自然资源和规划局</w:t>
            </w:r>
          </w:p>
          <w:p w14:paraId="0648854D">
            <w:pPr>
              <w:keepNext w:val="0"/>
              <w:keepLines w:val="0"/>
              <w:pageBreakBefore w:val="0"/>
              <w:widowControl w:val="0"/>
              <w:kinsoku/>
              <w:wordWrap/>
              <w:overflowPunct/>
              <w:topLinePunct w:val="0"/>
              <w:autoSpaceDE w:val="0"/>
              <w:autoSpaceDN w:val="0"/>
              <w:bidi w:val="0"/>
              <w:adjustRightInd w:val="0"/>
              <w:snapToGrid w:val="0"/>
              <w:spacing w:line="360" w:lineRule="auto"/>
              <w:textAlignment w:val="auto"/>
              <w:rPr>
                <w:rFonts w:hint="eastAsia" w:ascii="宋体" w:hAnsi="宋体" w:cs="宋体"/>
                <w:color w:val="auto"/>
                <w:kern w:val="0"/>
                <w:sz w:val="24"/>
                <w:szCs w:val="24"/>
                <w:lang w:val="en-US" w:eastAsia="zh-CN"/>
              </w:rPr>
            </w:pPr>
            <w:r>
              <w:rPr>
                <w:rFonts w:hint="eastAsia" w:ascii="宋体" w:hAnsi="宋体" w:cs="宋体"/>
                <w:color w:val="auto"/>
                <w:kern w:val="0"/>
                <w:sz w:val="24"/>
                <w:szCs w:val="24"/>
                <w:lang w:val="en-US" w:eastAsia="zh-CN"/>
              </w:rPr>
              <w:t>审批文号：无正式批复文件</w:t>
            </w:r>
          </w:p>
        </w:tc>
      </w:tr>
      <w:tr w14:paraId="1F1109B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726" w:type="dxa"/>
            <w:gridSpan w:val="2"/>
            <w:vAlign w:val="center"/>
          </w:tcPr>
          <w:p w14:paraId="0E7D0591">
            <w:pPr>
              <w:adjustRightInd w:val="0"/>
              <w:snapToGrid w:val="0"/>
              <w:jc w:val="center"/>
              <w:rPr>
                <w:rFonts w:ascii="宋体" w:hAnsi="宋体" w:cs="宋体"/>
                <w:color w:val="auto"/>
                <w:sz w:val="24"/>
                <w:szCs w:val="24"/>
              </w:rPr>
            </w:pPr>
            <w:r>
              <w:rPr>
                <w:rFonts w:hint="eastAsia" w:ascii="宋体" w:hAnsi="宋体" w:cs="宋体"/>
                <w:color w:val="auto"/>
                <w:sz w:val="24"/>
                <w:szCs w:val="24"/>
              </w:rPr>
              <w:t>规划环境影响</w:t>
            </w:r>
          </w:p>
          <w:p w14:paraId="0574DC9B">
            <w:pPr>
              <w:adjustRightInd w:val="0"/>
              <w:snapToGrid w:val="0"/>
              <w:jc w:val="center"/>
              <w:rPr>
                <w:rFonts w:hint="eastAsia" w:ascii="宋体" w:hAnsi="宋体" w:cs="宋体"/>
                <w:color w:val="auto"/>
                <w:kern w:val="0"/>
                <w:sz w:val="24"/>
                <w:szCs w:val="24"/>
              </w:rPr>
            </w:pPr>
            <w:r>
              <w:rPr>
                <w:rFonts w:hint="eastAsia" w:ascii="宋体" w:hAnsi="宋体" w:cs="宋体"/>
                <w:color w:val="auto"/>
                <w:sz w:val="24"/>
                <w:szCs w:val="24"/>
              </w:rPr>
              <w:t>评价情况</w:t>
            </w:r>
          </w:p>
        </w:tc>
        <w:tc>
          <w:tcPr>
            <w:tcW w:w="8144" w:type="dxa"/>
            <w:gridSpan w:val="5"/>
            <w:vAlign w:val="center"/>
          </w:tcPr>
          <w:p w14:paraId="65BFC4A7">
            <w:pPr>
              <w:keepNext w:val="0"/>
              <w:keepLines w:val="0"/>
              <w:pageBreakBefore w:val="0"/>
              <w:widowControl w:val="0"/>
              <w:kinsoku/>
              <w:wordWrap/>
              <w:overflowPunct/>
              <w:topLinePunct w:val="0"/>
              <w:autoSpaceDE w:val="0"/>
              <w:autoSpaceDN w:val="0"/>
              <w:bidi w:val="0"/>
              <w:adjustRightInd w:val="0"/>
              <w:snapToGrid w:val="0"/>
              <w:spacing w:line="360" w:lineRule="auto"/>
              <w:textAlignment w:val="auto"/>
              <w:rPr>
                <w:rFonts w:hint="eastAsia" w:ascii="宋体" w:hAnsi="宋体" w:cs="宋体"/>
                <w:color w:val="auto"/>
                <w:kern w:val="0"/>
                <w:sz w:val="24"/>
                <w:szCs w:val="24"/>
                <w:lang w:eastAsia="zh-CN"/>
              </w:rPr>
            </w:pPr>
            <w:r>
              <w:rPr>
                <w:rFonts w:hint="eastAsia" w:ascii="宋体" w:hAnsi="宋体" w:cs="宋体"/>
                <w:color w:val="auto"/>
                <w:kern w:val="0"/>
                <w:sz w:val="24"/>
                <w:szCs w:val="24"/>
                <w:lang w:eastAsia="zh-CN"/>
              </w:rPr>
              <w:t>无</w:t>
            </w:r>
          </w:p>
        </w:tc>
      </w:tr>
      <w:tr w14:paraId="5D3E39E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726" w:type="dxa"/>
            <w:gridSpan w:val="2"/>
            <w:vAlign w:val="center"/>
          </w:tcPr>
          <w:p w14:paraId="1A49E346">
            <w:pPr>
              <w:keepNext w:val="0"/>
              <w:keepLines w:val="0"/>
              <w:pageBreakBefore w:val="0"/>
              <w:widowControl w:val="0"/>
              <w:kinsoku/>
              <w:wordWrap/>
              <w:overflowPunct/>
              <w:topLinePunct w:val="0"/>
              <w:autoSpaceDE w:val="0"/>
              <w:autoSpaceDN w:val="0"/>
              <w:bidi w:val="0"/>
              <w:adjustRightInd w:val="0"/>
              <w:snapToGrid w:val="0"/>
              <w:jc w:val="center"/>
              <w:textAlignment w:val="auto"/>
              <w:rPr>
                <w:rFonts w:ascii="宋体" w:hAnsi="宋体" w:cs="宋体"/>
                <w:color w:val="auto"/>
                <w:kern w:val="0"/>
                <w:sz w:val="24"/>
                <w:szCs w:val="24"/>
              </w:rPr>
            </w:pPr>
            <w:r>
              <w:rPr>
                <w:rFonts w:hint="eastAsia" w:ascii="宋体" w:hAnsi="宋体" w:cs="宋体"/>
                <w:color w:val="auto"/>
                <w:kern w:val="0"/>
                <w:sz w:val="24"/>
                <w:szCs w:val="24"/>
              </w:rPr>
              <w:t>规划及规划环境影响评价符合性分析</w:t>
            </w:r>
          </w:p>
        </w:tc>
        <w:tc>
          <w:tcPr>
            <w:tcW w:w="8144" w:type="dxa"/>
            <w:gridSpan w:val="5"/>
            <w:vAlign w:val="center"/>
          </w:tcPr>
          <w:p w14:paraId="4E5F3738">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cs="Times New Roman"/>
                <w:b w:val="0"/>
                <w:bCs w:val="0"/>
                <w:color w:val="auto"/>
                <w:sz w:val="24"/>
                <w:szCs w:val="24"/>
                <w:lang w:val="en-US" w:eastAsia="zh-CN"/>
              </w:rPr>
            </w:pPr>
            <w:r>
              <w:rPr>
                <w:rFonts w:hint="default" w:ascii="Times New Roman" w:hAnsi="Times New Roman" w:eastAsia="宋体" w:cs="Times New Roman"/>
                <w:b w:val="0"/>
                <w:bCs w:val="0"/>
                <w:color w:val="auto"/>
                <w:sz w:val="24"/>
                <w:szCs w:val="24"/>
                <w:lang w:val="en-US" w:eastAsia="zh-CN"/>
              </w:rPr>
              <w:t>《岳阳市主城区排水（雨水）防涝综合规划》（2015</w:t>
            </w:r>
            <w:r>
              <w:rPr>
                <w:rFonts w:hint="default" w:ascii="Times New Roman" w:hAnsi="Times New Roman" w:cs="Times New Roman"/>
                <w:b w:val="0"/>
                <w:bCs w:val="0"/>
                <w:color w:val="auto"/>
                <w:sz w:val="24"/>
                <w:szCs w:val="24"/>
                <w:lang w:val="en-US" w:eastAsia="zh-CN"/>
              </w:rPr>
              <w:t>~</w:t>
            </w:r>
            <w:r>
              <w:rPr>
                <w:rFonts w:hint="default" w:ascii="Times New Roman" w:hAnsi="Times New Roman" w:eastAsia="宋体" w:cs="Times New Roman"/>
                <w:b w:val="0"/>
                <w:bCs w:val="0"/>
                <w:color w:val="auto"/>
                <w:sz w:val="24"/>
                <w:szCs w:val="24"/>
                <w:lang w:val="en-US" w:eastAsia="zh-CN"/>
              </w:rPr>
              <w:t>2030年）</w:t>
            </w:r>
            <w:r>
              <w:rPr>
                <w:rFonts w:hint="default" w:ascii="Times New Roman" w:hAnsi="Times New Roman" w:cs="Times New Roman"/>
                <w:b w:val="0"/>
                <w:bCs w:val="0"/>
                <w:color w:val="auto"/>
                <w:sz w:val="24"/>
                <w:szCs w:val="24"/>
                <w:lang w:val="en-US" w:eastAsia="zh-CN"/>
              </w:rPr>
              <w:t>提出：“设计重现期按照主城区一般地区雨水设计重现期P选用3年，其他附属设施规划设计标准根据《室外排水设计规范》（GB50014-2006，2014版）的要求确定”。《岳阳市海绵城市专项规划》（2016~2030年）要求：“岳阳市主城区防涝标准为30年一遇，云溪、君山区排涝标准为20年一遇”。</w:t>
            </w:r>
          </w:p>
          <w:p w14:paraId="345754D6">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color w:val="auto"/>
                <w:lang w:eastAsia="zh-CN"/>
              </w:rPr>
            </w:pPr>
            <w:r>
              <w:rPr>
                <w:rFonts w:hint="default" w:ascii="Times New Roman" w:hAnsi="Times New Roman" w:cs="Times New Roman"/>
                <w:b w:val="0"/>
                <w:bCs w:val="0"/>
                <w:color w:val="auto"/>
                <w:sz w:val="24"/>
                <w:szCs w:val="24"/>
                <w:lang w:val="en-US" w:eastAsia="zh-CN"/>
              </w:rPr>
              <w:t>本项目位于岳阳楼区，改造项目雨水管渠设计重现期为3~5年，内涝防治设计按照重现期30年标准，本项目建设内容与上述规划确定的排水防涝标准、建设布局一致；上述规划未开展规划环境影响评价，无规划环评审查意见，本项目符合规划及相关管控要求。</w:t>
            </w:r>
          </w:p>
        </w:tc>
      </w:tr>
      <w:tr w14:paraId="518FBE6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77" w:hRule="atLeast"/>
          <w:jc w:val="center"/>
        </w:trPr>
        <w:tc>
          <w:tcPr>
            <w:tcW w:w="514" w:type="dxa"/>
            <w:vAlign w:val="center"/>
          </w:tcPr>
          <w:p w14:paraId="7A86D90B">
            <w:pPr>
              <w:keepNext w:val="0"/>
              <w:keepLines w:val="0"/>
              <w:pageBreakBefore w:val="0"/>
              <w:widowControl w:val="0"/>
              <w:kinsoku/>
              <w:wordWrap/>
              <w:overflowPunct/>
              <w:topLinePunct w:val="0"/>
              <w:autoSpaceDE w:val="0"/>
              <w:autoSpaceDN w:val="0"/>
              <w:bidi w:val="0"/>
              <w:adjustRightInd w:val="0"/>
              <w:snapToGrid w:val="0"/>
              <w:jc w:val="center"/>
              <w:textAlignment w:val="auto"/>
              <w:rPr>
                <w:rFonts w:hint="eastAsia" w:ascii="宋体" w:hAnsi="宋体" w:cs="宋体"/>
                <w:color w:val="auto"/>
                <w:kern w:val="0"/>
                <w:sz w:val="24"/>
                <w:szCs w:val="24"/>
              </w:rPr>
            </w:pPr>
            <w:r>
              <w:rPr>
                <w:rFonts w:hint="eastAsia" w:ascii="宋体" w:hAnsi="宋体" w:cs="宋体"/>
                <w:color w:val="auto"/>
                <w:kern w:val="0"/>
                <w:sz w:val="24"/>
                <w:szCs w:val="24"/>
              </w:rPr>
              <w:t>其他符合性分析</w:t>
            </w:r>
          </w:p>
        </w:tc>
        <w:tc>
          <w:tcPr>
            <w:tcW w:w="8356" w:type="dxa"/>
            <w:gridSpan w:val="6"/>
            <w:vAlign w:val="center"/>
          </w:tcPr>
          <w:p w14:paraId="1421298A">
            <w:pPr>
              <w:pStyle w:val="3"/>
              <w:rPr>
                <w:rFonts w:hint="default" w:ascii="宋体" w:hAnsi="宋体" w:eastAsia="宋体" w:cs="宋体"/>
                <w:b/>
                <w:bCs/>
                <w:color w:val="auto"/>
                <w:kern w:val="2"/>
                <w:sz w:val="24"/>
                <w:szCs w:val="24"/>
                <w:lang w:val="en-US" w:eastAsia="zh-CN" w:bidi="ar-SA"/>
              </w:rPr>
            </w:pPr>
            <w:r>
              <w:rPr>
                <w:rFonts w:hint="eastAsia" w:ascii="宋体" w:hAnsi="宋体" w:eastAsia="宋体" w:cs="宋体"/>
                <w:b/>
                <w:bCs/>
                <w:color w:val="auto"/>
                <w:kern w:val="2"/>
                <w:sz w:val="24"/>
                <w:szCs w:val="24"/>
                <w:lang w:val="en-US" w:eastAsia="zh-CN" w:bidi="ar-SA"/>
              </w:rPr>
              <w:t>1、本项目与产业政策符合性分析</w:t>
            </w:r>
          </w:p>
          <w:p w14:paraId="5D63D350">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color w:val="auto"/>
                <w:sz w:val="24"/>
                <w:szCs w:val="24"/>
                <w:lang w:val="en-US" w:eastAsia="zh-CN"/>
              </w:rPr>
            </w:pPr>
            <w:r>
              <w:rPr>
                <w:rFonts w:hint="eastAsia"/>
                <w:color w:val="auto"/>
                <w:sz w:val="24"/>
                <w:szCs w:val="24"/>
                <w:lang w:val="en-US" w:eastAsia="zh-CN"/>
              </w:rPr>
              <w:t>根据国家发改委《产业结构调整指导目录（2024年本）》，本项目属于鼓励类“二、水利”中“2、节水供水工程：改造，高效输配水”、“3、防洪提升工程：城市积涝预警和防洪工程”。因此，本项目符合国家现行产业政策。同时本项目不属于国土资源部、国家发改委以“国土资发[2012]98号发布的《限制用地项目目录（2012年本）》和《禁止用地项目目录（2012年本）》”中规定的项目，本项目建设符合国家现行产业政策。</w:t>
            </w:r>
          </w:p>
          <w:p w14:paraId="61AE8071">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color w:val="auto"/>
                <w:sz w:val="24"/>
                <w:szCs w:val="24"/>
                <w:lang w:val="en-US" w:eastAsia="zh-CN"/>
              </w:rPr>
            </w:pPr>
            <w:r>
              <w:rPr>
                <w:rFonts w:hint="eastAsia"/>
                <w:color w:val="auto"/>
                <w:sz w:val="24"/>
                <w:szCs w:val="24"/>
                <w:lang w:val="en-US" w:eastAsia="zh-CN"/>
              </w:rPr>
              <w:t>2024年9月5日，岳阳楼区发改委以“岳楼发改审[2024]122号”对本项目进行了立项批复（见附件2）</w:t>
            </w:r>
          </w:p>
          <w:p w14:paraId="24EB7AE9">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color w:val="auto"/>
                <w:sz w:val="24"/>
                <w:szCs w:val="24"/>
                <w:lang w:val="en-US" w:eastAsia="zh-CN"/>
              </w:rPr>
            </w:pPr>
            <w:r>
              <w:rPr>
                <w:rFonts w:hint="eastAsia"/>
                <w:color w:val="auto"/>
                <w:sz w:val="24"/>
                <w:szCs w:val="24"/>
                <w:lang w:val="en-US" w:eastAsia="zh-CN"/>
              </w:rPr>
              <w:t>综上所述，本项目建设符合国家现行相关产业政策的要求。</w:t>
            </w:r>
          </w:p>
          <w:p w14:paraId="58E1BC0D">
            <w:pPr>
              <w:pStyle w:val="3"/>
              <w:rPr>
                <w:rFonts w:hint="default" w:ascii="宋体" w:hAnsi="宋体" w:eastAsia="宋体" w:cs="宋体"/>
                <w:b/>
                <w:bCs/>
                <w:color w:val="auto"/>
                <w:kern w:val="2"/>
                <w:sz w:val="24"/>
                <w:szCs w:val="24"/>
                <w:lang w:val="en-US" w:eastAsia="zh-CN" w:bidi="ar-SA"/>
              </w:rPr>
            </w:pPr>
            <w:r>
              <w:rPr>
                <w:rFonts w:hint="eastAsia" w:ascii="宋体" w:hAnsi="宋体" w:eastAsia="宋体" w:cs="宋体"/>
                <w:b/>
                <w:bCs/>
                <w:color w:val="auto"/>
                <w:kern w:val="2"/>
                <w:sz w:val="24"/>
                <w:szCs w:val="24"/>
                <w:lang w:val="en-US" w:eastAsia="zh-CN" w:bidi="ar-SA"/>
              </w:rPr>
              <w:t>2、本项目与《岳阳市国土空间总体规划（2021-2035年）》符合性分析</w:t>
            </w:r>
          </w:p>
          <w:p w14:paraId="5FB4AE54">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color w:val="auto"/>
                <w:sz w:val="24"/>
                <w:szCs w:val="24"/>
                <w:lang w:val="en-US" w:eastAsia="zh-CN"/>
              </w:rPr>
            </w:pPr>
            <w:r>
              <w:rPr>
                <w:rFonts w:hint="eastAsia"/>
                <w:color w:val="auto"/>
                <w:sz w:val="24"/>
                <w:szCs w:val="24"/>
                <w:lang w:val="en-US" w:eastAsia="zh-CN"/>
              </w:rPr>
              <w:t>根据《岳阳市国土空间总体规划（2021-2035年）》，岳阳建设“一轴五楔，一心四片”的中心城区空间结构，“一心”即以岳阳楼区为主体的主城核心，重点提升公共服务水平，建设城市客厅。</w:t>
            </w:r>
          </w:p>
          <w:p w14:paraId="0267F19E">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color w:val="auto"/>
                <w:sz w:val="24"/>
                <w:szCs w:val="24"/>
                <w:lang w:val="en-US" w:eastAsia="zh-CN"/>
              </w:rPr>
            </w:pPr>
            <w:r>
              <w:rPr>
                <w:rFonts w:hint="eastAsia"/>
                <w:color w:val="auto"/>
                <w:sz w:val="24"/>
                <w:szCs w:val="24"/>
                <w:lang w:val="en-US" w:eastAsia="zh-CN"/>
              </w:rPr>
              <w:t>本项目位于岳阳楼区，进行防洪除涝工程改造，以提升城市防洪水平，保障人民生命健康和财产安全；供水工程改善居民饮水安全等，同时根据岳阳楼区自然资源局出具的证明（附件3），本项目是在原有管网上建设，项目不涉及新增占地，因此本项目符合《岳阳市国土空间总体规划（2021-2035年）》。</w:t>
            </w:r>
          </w:p>
          <w:p w14:paraId="402EB6E5">
            <w:pPr>
              <w:pStyle w:val="3"/>
              <w:rPr>
                <w:rFonts w:hint="default" w:ascii="Times New Roman" w:hAnsi="Times New Roman" w:eastAsia="宋体" w:cs="Times New Roman"/>
                <w:color w:val="auto"/>
              </w:rPr>
            </w:pPr>
            <w:r>
              <w:rPr>
                <w:rFonts w:hint="eastAsia" w:eastAsia="宋体" w:cs="Times New Roman"/>
                <w:color w:val="auto"/>
                <w:lang w:val="en-US" w:eastAsia="zh-CN"/>
              </w:rPr>
              <w:t>3</w:t>
            </w:r>
            <w:r>
              <w:rPr>
                <w:rFonts w:hint="default" w:ascii="Times New Roman" w:hAnsi="Times New Roman" w:eastAsia="宋体" w:cs="Times New Roman"/>
                <w:color w:val="auto"/>
              </w:rPr>
              <w:t>、与“三线一单”相符性分析</w:t>
            </w:r>
          </w:p>
          <w:p w14:paraId="16DF208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宋体" w:hAnsi="宋体" w:eastAsia="宋体" w:cs="宋体"/>
                <w:b w:val="0"/>
                <w:bCs w:val="0"/>
                <w:color w:val="auto"/>
                <w:sz w:val="24"/>
                <w:szCs w:val="24"/>
                <w:lang w:eastAsia="zh-CN"/>
              </w:rPr>
            </w:pPr>
            <w:r>
              <w:rPr>
                <w:rFonts w:hint="default" w:ascii="宋体" w:hAnsi="宋体" w:eastAsia="宋体" w:cs="宋体"/>
                <w:b w:val="0"/>
                <w:bCs w:val="0"/>
                <w:color w:val="auto"/>
                <w:sz w:val="24"/>
                <w:szCs w:val="24"/>
                <w:lang w:eastAsia="zh-CN"/>
              </w:rPr>
              <w:t>根据《关于实施岳阳市“三线一单”生态环境分区管控的意见》（</w:t>
            </w:r>
            <w:r>
              <w:rPr>
                <w:rFonts w:hint="eastAsia" w:ascii="宋体" w:hAnsi="宋体" w:cs="宋体"/>
                <w:b w:val="0"/>
                <w:bCs w:val="0"/>
                <w:color w:val="auto"/>
                <w:sz w:val="24"/>
                <w:szCs w:val="24"/>
                <w:lang w:eastAsia="zh-CN"/>
              </w:rPr>
              <w:t>岳</w:t>
            </w:r>
            <w:r>
              <w:rPr>
                <w:rFonts w:hint="default" w:ascii="宋体" w:hAnsi="宋体" w:eastAsia="宋体" w:cs="宋体"/>
                <w:b w:val="0"/>
                <w:bCs w:val="0"/>
                <w:color w:val="auto"/>
                <w:sz w:val="24"/>
                <w:szCs w:val="24"/>
                <w:lang w:eastAsia="zh-CN"/>
              </w:rPr>
              <w:t>政发〔202</w:t>
            </w:r>
            <w:r>
              <w:rPr>
                <w:rFonts w:hint="eastAsia" w:ascii="宋体" w:hAnsi="宋体" w:cs="宋体"/>
                <w:b w:val="0"/>
                <w:bCs w:val="0"/>
                <w:color w:val="auto"/>
                <w:sz w:val="24"/>
                <w:szCs w:val="24"/>
                <w:lang w:val="en-US" w:eastAsia="zh-CN"/>
              </w:rPr>
              <w:t>1</w:t>
            </w:r>
            <w:r>
              <w:rPr>
                <w:rFonts w:hint="default" w:ascii="宋体" w:hAnsi="宋体" w:eastAsia="宋体" w:cs="宋体"/>
                <w:b w:val="0"/>
                <w:bCs w:val="0"/>
                <w:color w:val="auto"/>
                <w:sz w:val="24"/>
                <w:szCs w:val="24"/>
                <w:lang w:eastAsia="zh-CN"/>
              </w:rPr>
              <w:t>〕</w:t>
            </w:r>
            <w:r>
              <w:rPr>
                <w:rFonts w:hint="eastAsia" w:ascii="宋体" w:hAnsi="宋体" w:cs="宋体"/>
                <w:b w:val="0"/>
                <w:bCs w:val="0"/>
                <w:color w:val="auto"/>
                <w:sz w:val="24"/>
                <w:szCs w:val="24"/>
                <w:lang w:val="en-US" w:eastAsia="zh-CN"/>
              </w:rPr>
              <w:t>2</w:t>
            </w:r>
            <w:r>
              <w:rPr>
                <w:rFonts w:hint="default" w:ascii="宋体" w:hAnsi="宋体" w:eastAsia="宋体" w:cs="宋体"/>
                <w:b w:val="0"/>
                <w:bCs w:val="0"/>
                <w:color w:val="auto"/>
                <w:sz w:val="24"/>
                <w:szCs w:val="24"/>
                <w:lang w:eastAsia="zh-CN"/>
              </w:rPr>
              <w:t>号）</w:t>
            </w:r>
            <w:r>
              <w:rPr>
                <w:rFonts w:hint="eastAsia" w:ascii="宋体" w:hAnsi="宋体" w:cs="宋体"/>
                <w:b w:val="0"/>
                <w:bCs w:val="0"/>
                <w:color w:val="auto"/>
                <w:sz w:val="24"/>
                <w:szCs w:val="24"/>
                <w:lang w:eastAsia="zh-CN"/>
              </w:rPr>
              <w:t>和《关于发布岳阳市生态环境分区管控动态更新成果（</w:t>
            </w:r>
            <w:r>
              <w:rPr>
                <w:rFonts w:hint="eastAsia" w:ascii="宋体" w:hAnsi="宋体" w:cs="宋体"/>
                <w:b w:val="0"/>
                <w:bCs w:val="0"/>
                <w:color w:val="auto"/>
                <w:sz w:val="24"/>
                <w:szCs w:val="24"/>
                <w:lang w:val="en-US" w:eastAsia="zh-CN"/>
              </w:rPr>
              <w:t>2023年版</w:t>
            </w:r>
            <w:r>
              <w:rPr>
                <w:rFonts w:hint="eastAsia" w:ascii="宋体" w:hAnsi="宋体" w:cs="宋体"/>
                <w:b w:val="0"/>
                <w:bCs w:val="0"/>
                <w:color w:val="auto"/>
                <w:sz w:val="24"/>
                <w:szCs w:val="24"/>
                <w:lang w:eastAsia="zh-CN"/>
              </w:rPr>
              <w:t>）的通知》（岳环发〔2024〕14号）</w:t>
            </w:r>
            <w:r>
              <w:rPr>
                <w:rFonts w:hint="default" w:ascii="宋体" w:hAnsi="宋体" w:eastAsia="宋体" w:cs="宋体"/>
                <w:b w:val="0"/>
                <w:bCs w:val="0"/>
                <w:color w:val="auto"/>
                <w:sz w:val="24"/>
                <w:szCs w:val="24"/>
                <w:lang w:eastAsia="zh-CN"/>
              </w:rPr>
              <w:t>，将全市行政区域从生态环境保护角度划分为优先管控、重点管控和一般管控三类环境管控单元。</w:t>
            </w:r>
          </w:p>
          <w:p w14:paraId="3A6D1AD7">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宋体" w:hAnsi="宋体" w:eastAsia="宋体" w:cs="宋体"/>
                <w:b w:val="0"/>
                <w:bCs w:val="0"/>
                <w:color w:val="auto"/>
                <w:sz w:val="24"/>
                <w:szCs w:val="24"/>
                <w:lang w:eastAsia="zh-CN"/>
              </w:rPr>
            </w:pPr>
            <w:r>
              <w:rPr>
                <w:rFonts w:hint="default" w:ascii="宋体" w:hAnsi="宋体" w:eastAsia="宋体" w:cs="宋体"/>
                <w:b/>
                <w:bCs/>
                <w:color w:val="auto"/>
                <w:sz w:val="24"/>
                <w:szCs w:val="24"/>
                <w:lang w:eastAsia="zh-CN"/>
              </w:rPr>
              <w:t>优先管控单元</w:t>
            </w:r>
            <w:r>
              <w:rPr>
                <w:rFonts w:hint="eastAsia" w:ascii="宋体" w:hAnsi="宋体" w:cs="宋体"/>
                <w:b/>
                <w:bCs/>
                <w:color w:val="auto"/>
                <w:sz w:val="24"/>
                <w:szCs w:val="24"/>
                <w:lang w:eastAsia="zh-CN"/>
              </w:rPr>
              <w:t>：</w:t>
            </w:r>
            <w:r>
              <w:rPr>
                <w:rFonts w:hint="default" w:ascii="宋体" w:hAnsi="宋体" w:eastAsia="宋体" w:cs="宋体"/>
                <w:b w:val="0"/>
                <w:bCs w:val="0"/>
                <w:color w:val="auto"/>
                <w:sz w:val="24"/>
                <w:szCs w:val="24"/>
                <w:lang w:eastAsia="zh-CN"/>
              </w:rPr>
              <w:t>是指以生态环境保护为主的区域</w:t>
            </w:r>
            <w:r>
              <w:rPr>
                <w:rFonts w:hint="eastAsia" w:ascii="宋体" w:hAnsi="宋体" w:cs="宋体"/>
                <w:b w:val="0"/>
                <w:bCs w:val="0"/>
                <w:color w:val="auto"/>
                <w:sz w:val="24"/>
                <w:szCs w:val="24"/>
                <w:lang w:eastAsia="zh-CN"/>
              </w:rPr>
              <w:t>，全市优先保护单元1</w:t>
            </w:r>
            <w:r>
              <w:rPr>
                <w:rFonts w:hint="eastAsia" w:ascii="宋体" w:hAnsi="宋体" w:cs="宋体"/>
                <w:b w:val="0"/>
                <w:bCs w:val="0"/>
                <w:color w:val="auto"/>
                <w:sz w:val="24"/>
                <w:szCs w:val="24"/>
                <w:lang w:val="en-US" w:eastAsia="zh-CN"/>
              </w:rPr>
              <w:t>9</w:t>
            </w:r>
            <w:r>
              <w:rPr>
                <w:rFonts w:hint="eastAsia" w:ascii="宋体" w:hAnsi="宋体" w:cs="宋体"/>
                <w:b w:val="0"/>
                <w:bCs w:val="0"/>
                <w:color w:val="auto"/>
                <w:sz w:val="24"/>
                <w:szCs w:val="24"/>
                <w:lang w:eastAsia="zh-CN"/>
              </w:rPr>
              <w:t>个</w:t>
            </w:r>
            <w:r>
              <w:rPr>
                <w:rFonts w:hint="default" w:ascii="宋体" w:hAnsi="宋体" w:eastAsia="宋体" w:cs="宋体"/>
                <w:b w:val="0"/>
                <w:bCs w:val="0"/>
                <w:color w:val="auto"/>
                <w:sz w:val="24"/>
                <w:szCs w:val="24"/>
                <w:lang w:eastAsia="zh-CN"/>
              </w:rPr>
              <w:t>，主要包括各类生态保护地、饮用水源保护区、环境空气一类功能区、永久基本农田保护区等。</w:t>
            </w:r>
          </w:p>
          <w:p w14:paraId="3FCE0204">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宋体" w:hAnsi="宋体" w:eastAsia="宋体" w:cs="宋体"/>
                <w:b w:val="0"/>
                <w:bCs w:val="0"/>
                <w:color w:val="auto"/>
                <w:sz w:val="24"/>
                <w:szCs w:val="24"/>
                <w:lang w:eastAsia="zh-CN"/>
              </w:rPr>
            </w:pPr>
            <w:r>
              <w:rPr>
                <w:rFonts w:hint="default" w:ascii="宋体" w:hAnsi="宋体" w:eastAsia="宋体" w:cs="宋体"/>
                <w:b/>
                <w:bCs/>
                <w:color w:val="auto"/>
                <w:sz w:val="24"/>
                <w:szCs w:val="24"/>
                <w:lang w:eastAsia="zh-CN"/>
              </w:rPr>
              <w:t>重点管控单元</w:t>
            </w:r>
            <w:r>
              <w:rPr>
                <w:rFonts w:hint="eastAsia" w:ascii="宋体" w:hAnsi="宋体" w:cs="宋体"/>
                <w:b/>
                <w:bCs/>
                <w:color w:val="auto"/>
                <w:sz w:val="24"/>
                <w:szCs w:val="24"/>
                <w:lang w:eastAsia="zh-CN"/>
              </w:rPr>
              <w:t>：</w:t>
            </w:r>
            <w:r>
              <w:rPr>
                <w:rFonts w:hint="default" w:ascii="宋体" w:hAnsi="宋体" w:eastAsia="宋体" w:cs="宋体"/>
                <w:b w:val="0"/>
                <w:bCs w:val="0"/>
                <w:color w:val="auto"/>
                <w:sz w:val="24"/>
                <w:szCs w:val="24"/>
                <w:lang w:eastAsia="zh-CN"/>
              </w:rPr>
              <w:t>指涉及水、大气、土壤、自然资源等资源环境要素重点管控的区域，</w:t>
            </w:r>
            <w:r>
              <w:rPr>
                <w:rFonts w:hint="eastAsia" w:ascii="宋体" w:hAnsi="宋体" w:cs="宋体"/>
                <w:b w:val="0"/>
                <w:bCs w:val="0"/>
                <w:color w:val="auto"/>
                <w:sz w:val="24"/>
                <w:szCs w:val="24"/>
                <w:lang w:eastAsia="zh-CN"/>
              </w:rPr>
              <w:t>全市重点管控单元3</w:t>
            </w:r>
            <w:r>
              <w:rPr>
                <w:rFonts w:hint="eastAsia" w:ascii="宋体" w:hAnsi="宋体" w:cs="宋体"/>
                <w:b w:val="0"/>
                <w:bCs w:val="0"/>
                <w:color w:val="auto"/>
                <w:sz w:val="24"/>
                <w:szCs w:val="24"/>
                <w:lang w:val="en-US" w:eastAsia="zh-CN"/>
              </w:rPr>
              <w:t>2</w:t>
            </w:r>
            <w:r>
              <w:rPr>
                <w:rFonts w:hint="eastAsia" w:ascii="宋体" w:hAnsi="宋体" w:cs="宋体"/>
                <w:b w:val="0"/>
                <w:bCs w:val="0"/>
                <w:color w:val="auto"/>
                <w:sz w:val="24"/>
                <w:szCs w:val="24"/>
                <w:lang w:eastAsia="zh-CN"/>
              </w:rPr>
              <w:t>个（其中包含全市11个省级以上产业园区），</w:t>
            </w:r>
            <w:r>
              <w:rPr>
                <w:rFonts w:hint="default" w:ascii="宋体" w:hAnsi="宋体" w:eastAsia="宋体" w:cs="宋体"/>
                <w:b w:val="0"/>
                <w:bCs w:val="0"/>
                <w:color w:val="auto"/>
                <w:sz w:val="24"/>
                <w:szCs w:val="24"/>
                <w:lang w:eastAsia="zh-CN"/>
              </w:rPr>
              <w:t>主要包括城镇规划区、省级以上产业园和开发强度大、污染物排放强度高的区域等。</w:t>
            </w:r>
          </w:p>
          <w:p w14:paraId="4D769000">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cs="宋体"/>
                <w:b w:val="0"/>
                <w:bCs w:val="0"/>
                <w:color w:val="auto"/>
                <w:sz w:val="24"/>
                <w:szCs w:val="24"/>
                <w:lang w:eastAsia="zh-CN"/>
              </w:rPr>
            </w:pPr>
            <w:r>
              <w:rPr>
                <w:rFonts w:hint="default" w:ascii="宋体" w:hAnsi="宋体" w:eastAsia="宋体" w:cs="宋体"/>
                <w:b/>
                <w:bCs/>
                <w:color w:val="auto"/>
                <w:sz w:val="24"/>
                <w:szCs w:val="24"/>
                <w:lang w:eastAsia="zh-CN"/>
              </w:rPr>
              <w:t>一般管控单元</w:t>
            </w:r>
            <w:r>
              <w:rPr>
                <w:rFonts w:hint="eastAsia" w:ascii="宋体" w:hAnsi="宋体" w:cs="宋体"/>
                <w:b/>
                <w:bCs/>
                <w:color w:val="auto"/>
                <w:sz w:val="24"/>
                <w:szCs w:val="24"/>
                <w:lang w:eastAsia="zh-CN"/>
              </w:rPr>
              <w:t>：</w:t>
            </w:r>
            <w:r>
              <w:rPr>
                <w:rFonts w:hint="default" w:ascii="宋体" w:hAnsi="宋体" w:eastAsia="宋体" w:cs="宋体"/>
                <w:b w:val="0"/>
                <w:bCs w:val="0"/>
                <w:color w:val="auto"/>
                <w:sz w:val="24"/>
                <w:szCs w:val="24"/>
                <w:lang w:eastAsia="zh-CN"/>
              </w:rPr>
              <w:t>指优先保护单元和重点管控单元之外的其他区域。全市共划定</w:t>
            </w:r>
            <w:r>
              <w:rPr>
                <w:rFonts w:hint="eastAsia" w:ascii="宋体" w:hAnsi="宋体" w:cs="宋体"/>
                <w:b w:val="0"/>
                <w:bCs w:val="0"/>
                <w:color w:val="auto"/>
                <w:sz w:val="24"/>
                <w:szCs w:val="24"/>
                <w:lang w:val="en-US" w:eastAsia="zh-CN"/>
              </w:rPr>
              <w:t>12</w:t>
            </w:r>
            <w:r>
              <w:rPr>
                <w:rFonts w:hint="default" w:ascii="宋体" w:hAnsi="宋体" w:eastAsia="宋体" w:cs="宋体"/>
                <w:b w:val="0"/>
                <w:bCs w:val="0"/>
                <w:color w:val="auto"/>
                <w:sz w:val="24"/>
                <w:szCs w:val="24"/>
                <w:lang w:eastAsia="zh-CN"/>
              </w:rPr>
              <w:t>个环境管控单元，</w:t>
            </w:r>
            <w:r>
              <w:rPr>
                <w:rFonts w:hint="eastAsia" w:ascii="宋体" w:hAnsi="宋体" w:cs="宋体"/>
                <w:b w:val="0"/>
                <w:bCs w:val="0"/>
                <w:color w:val="auto"/>
                <w:sz w:val="24"/>
                <w:szCs w:val="24"/>
                <w:lang w:eastAsia="zh-CN"/>
              </w:rPr>
              <w:t>执行区域生态环境保护的基本要求，重点加强农业、生活等领域污染治理。</w:t>
            </w:r>
          </w:p>
          <w:p w14:paraId="37A1E269">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cs="宋体"/>
                <w:b w:val="0"/>
                <w:bCs w:val="0"/>
                <w:color w:val="FF0000"/>
                <w:sz w:val="24"/>
                <w:szCs w:val="24"/>
                <w:lang w:eastAsia="zh-CN"/>
              </w:rPr>
            </w:pPr>
            <w:r>
              <w:rPr>
                <w:rFonts w:hint="eastAsia" w:ascii="宋体" w:hAnsi="宋体" w:cs="宋体"/>
                <w:b/>
                <w:bCs/>
                <w:color w:val="auto"/>
                <w:sz w:val="24"/>
                <w:szCs w:val="24"/>
                <w:lang w:eastAsia="zh-CN"/>
              </w:rPr>
              <w:t>分区环境管控要求</w:t>
            </w:r>
            <w:r>
              <w:rPr>
                <w:rFonts w:hint="eastAsia" w:ascii="宋体" w:hAnsi="宋体" w:cs="宋体"/>
                <w:b w:val="0"/>
                <w:bCs w:val="0"/>
                <w:color w:val="auto"/>
                <w:sz w:val="24"/>
                <w:szCs w:val="24"/>
                <w:lang w:eastAsia="zh-CN"/>
              </w:rPr>
              <w:t>：优先</w:t>
            </w:r>
            <w:r>
              <w:rPr>
                <w:rFonts w:hint="default" w:ascii="宋体" w:hAnsi="宋体" w:eastAsia="宋体" w:cs="宋体"/>
                <w:b w:val="0"/>
                <w:bCs w:val="0"/>
                <w:color w:val="auto"/>
                <w:sz w:val="24"/>
                <w:szCs w:val="24"/>
                <w:lang w:eastAsia="zh-CN"/>
              </w:rPr>
              <w:t>管控</w:t>
            </w:r>
            <w:r>
              <w:rPr>
                <w:rFonts w:hint="eastAsia" w:ascii="宋体" w:hAnsi="宋体" w:cs="宋体"/>
                <w:b w:val="0"/>
                <w:bCs w:val="0"/>
                <w:color w:val="auto"/>
                <w:sz w:val="24"/>
                <w:szCs w:val="24"/>
                <w:lang w:eastAsia="zh-CN"/>
              </w:rPr>
              <w:t>单元应依法禁止或限制大规模、高强度的工业和城镇建设，在功能受损的优先</w:t>
            </w:r>
            <w:r>
              <w:rPr>
                <w:rFonts w:hint="default" w:ascii="宋体" w:hAnsi="宋体" w:eastAsia="宋体" w:cs="宋体"/>
                <w:b w:val="0"/>
                <w:bCs w:val="0"/>
                <w:color w:val="auto"/>
                <w:sz w:val="24"/>
                <w:szCs w:val="24"/>
                <w:lang w:eastAsia="zh-CN"/>
              </w:rPr>
              <w:t>管控</w:t>
            </w:r>
            <w:r>
              <w:rPr>
                <w:rFonts w:hint="eastAsia" w:ascii="宋体" w:hAnsi="宋体" w:cs="宋体"/>
                <w:b w:val="0"/>
                <w:bCs w:val="0"/>
                <w:color w:val="auto"/>
                <w:sz w:val="24"/>
                <w:szCs w:val="24"/>
                <w:lang w:eastAsia="zh-CN"/>
              </w:rPr>
              <w:t>单元优先开展生态保护修复活动，恢复生态系统服务功能。重点管控单元应优化空间布局，加强污染物排放控制和环境风险防控，不断提升资源利用效率，解决生态环境质量不达标、生态环境风险高等问题。一般管控单元主要落实生态环境保护基本要求。</w:t>
            </w:r>
          </w:p>
          <w:p w14:paraId="3D8AD6E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eastAsia="zh-CN"/>
              </w:rPr>
            </w:pPr>
            <w:r>
              <w:rPr>
                <w:rFonts w:hint="eastAsia" w:ascii="宋体" w:hAnsi="宋体" w:cs="宋体"/>
                <w:b w:val="0"/>
                <w:bCs w:val="0"/>
                <w:color w:val="auto"/>
                <w:sz w:val="24"/>
                <w:szCs w:val="24"/>
                <w:lang w:eastAsia="zh-CN"/>
              </w:rPr>
              <w:t>本项目防洪除涝工程涉及</w:t>
            </w:r>
            <w:r>
              <w:rPr>
                <w:rFonts w:hint="default" w:ascii="宋体" w:hAnsi="宋体" w:cs="宋体"/>
                <w:b w:val="0"/>
                <w:bCs w:val="0"/>
                <w:color w:val="auto"/>
                <w:sz w:val="24"/>
                <w:szCs w:val="24"/>
                <w:lang w:eastAsia="zh-CN"/>
              </w:rPr>
              <w:t>洛王街道、金鹗山街道、枫桥湖街道、王家河街道</w:t>
            </w:r>
            <w:r>
              <w:rPr>
                <w:rFonts w:hint="eastAsia" w:ascii="宋体" w:hAnsi="宋体" w:cs="宋体"/>
                <w:b w:val="0"/>
                <w:bCs w:val="0"/>
                <w:color w:val="auto"/>
                <w:sz w:val="24"/>
                <w:szCs w:val="24"/>
                <w:lang w:eastAsia="zh-CN"/>
              </w:rPr>
              <w:t>；给水工程涉及梅溪街道、郭镇乡、康王乡，除供水工程中有一小部分位于一般管控单元（康王乡）外，其余工程均为重点管控单元。</w:t>
            </w:r>
          </w:p>
          <w:p w14:paraId="6D7BC80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宋体" w:hAnsi="宋体" w:cs="宋体"/>
                <w:b w:val="0"/>
                <w:bCs w:val="0"/>
                <w:color w:val="auto"/>
                <w:sz w:val="24"/>
                <w:szCs w:val="24"/>
                <w:lang w:eastAsia="zh-CN"/>
              </w:rPr>
            </w:pPr>
            <w:r>
              <w:rPr>
                <w:rFonts w:hint="eastAsia" w:ascii="宋体" w:hAnsi="宋体" w:cs="宋体"/>
                <w:b w:val="0"/>
                <w:bCs w:val="0"/>
                <w:color w:val="auto"/>
                <w:sz w:val="24"/>
                <w:szCs w:val="24"/>
                <w:lang w:eastAsia="zh-CN"/>
              </w:rPr>
              <w:t>本项目属于防洪除涝工程，不属于分区环境管控中的禁止和限制类，因此符合“岳</w:t>
            </w:r>
            <w:r>
              <w:rPr>
                <w:rFonts w:hint="default" w:ascii="宋体" w:hAnsi="宋体" w:eastAsia="宋体" w:cs="宋体"/>
                <w:b w:val="0"/>
                <w:bCs w:val="0"/>
                <w:color w:val="auto"/>
                <w:sz w:val="24"/>
                <w:szCs w:val="24"/>
                <w:lang w:eastAsia="zh-CN"/>
              </w:rPr>
              <w:t>政发〔202</w:t>
            </w:r>
            <w:r>
              <w:rPr>
                <w:rFonts w:hint="eastAsia" w:ascii="宋体" w:hAnsi="宋体" w:cs="宋体"/>
                <w:b w:val="0"/>
                <w:bCs w:val="0"/>
                <w:color w:val="auto"/>
                <w:sz w:val="24"/>
                <w:szCs w:val="24"/>
                <w:lang w:val="en-US" w:eastAsia="zh-CN"/>
              </w:rPr>
              <w:t>4</w:t>
            </w:r>
            <w:r>
              <w:rPr>
                <w:rFonts w:hint="default" w:ascii="宋体" w:hAnsi="宋体" w:eastAsia="宋体" w:cs="宋体"/>
                <w:b w:val="0"/>
                <w:bCs w:val="0"/>
                <w:color w:val="auto"/>
                <w:sz w:val="24"/>
                <w:szCs w:val="24"/>
                <w:lang w:eastAsia="zh-CN"/>
              </w:rPr>
              <w:t>〕</w:t>
            </w:r>
            <w:r>
              <w:rPr>
                <w:rFonts w:hint="eastAsia" w:ascii="宋体" w:hAnsi="宋体" w:cs="宋体"/>
                <w:b w:val="0"/>
                <w:bCs w:val="0"/>
                <w:color w:val="auto"/>
                <w:sz w:val="24"/>
                <w:szCs w:val="24"/>
                <w:lang w:val="en-US" w:eastAsia="zh-CN"/>
              </w:rPr>
              <w:t>14</w:t>
            </w:r>
            <w:r>
              <w:rPr>
                <w:rFonts w:hint="default" w:ascii="宋体" w:hAnsi="宋体" w:eastAsia="宋体" w:cs="宋体"/>
                <w:b w:val="0"/>
                <w:bCs w:val="0"/>
                <w:color w:val="auto"/>
                <w:sz w:val="24"/>
                <w:szCs w:val="24"/>
                <w:lang w:eastAsia="zh-CN"/>
              </w:rPr>
              <w:t>号</w:t>
            </w:r>
            <w:r>
              <w:rPr>
                <w:rFonts w:hint="eastAsia" w:ascii="宋体" w:hAnsi="宋体" w:cs="宋体"/>
                <w:b w:val="0"/>
                <w:bCs w:val="0"/>
                <w:color w:val="auto"/>
                <w:sz w:val="24"/>
                <w:szCs w:val="24"/>
                <w:lang w:eastAsia="zh-CN"/>
              </w:rPr>
              <w:t>”分区管控的要求，具体分析如下：</w:t>
            </w:r>
          </w:p>
          <w:p w14:paraId="7D757410">
            <w:pPr>
              <w:pStyle w:val="22"/>
              <w:rPr>
                <w:rFonts w:hint="eastAsia" w:ascii="Times New Roman" w:hAnsi="Times New Roman" w:eastAsia="宋体" w:cs="Times New Roman"/>
                <w:color w:val="auto"/>
                <w:sz w:val="24"/>
                <w:szCs w:val="32"/>
                <w:lang w:eastAsia="zh-CN"/>
              </w:rPr>
            </w:pPr>
            <w:r>
              <w:rPr>
                <w:rFonts w:hint="default" w:ascii="Times New Roman" w:hAnsi="Times New Roman" w:eastAsia="宋体" w:cs="Times New Roman"/>
                <w:color w:val="auto"/>
                <w:sz w:val="24"/>
                <w:szCs w:val="32"/>
              </w:rPr>
              <w:t>表1</w:t>
            </w:r>
            <w:r>
              <w:rPr>
                <w:rFonts w:hint="eastAsia" w:ascii="Times New Roman" w:hAnsi="Times New Roman" w:eastAsia="宋体" w:cs="Times New Roman"/>
                <w:color w:val="auto"/>
                <w:sz w:val="24"/>
                <w:szCs w:val="32"/>
                <w:lang w:val="en-US" w:eastAsia="zh-CN"/>
              </w:rPr>
              <w:t>.</w:t>
            </w:r>
            <w:r>
              <w:rPr>
                <w:rFonts w:hint="default" w:ascii="Times New Roman" w:hAnsi="Times New Roman" w:eastAsia="宋体" w:cs="Times New Roman"/>
                <w:color w:val="auto"/>
                <w:sz w:val="24"/>
                <w:szCs w:val="32"/>
              </w:rPr>
              <w:t xml:space="preserve">3  </w:t>
            </w:r>
            <w:r>
              <w:rPr>
                <w:rFonts w:hint="eastAsia" w:cs="Times New Roman"/>
                <w:color w:val="auto"/>
                <w:sz w:val="24"/>
                <w:szCs w:val="32"/>
                <w:lang w:eastAsia="zh-CN"/>
              </w:rPr>
              <w:t>项目</w:t>
            </w:r>
            <w:r>
              <w:rPr>
                <w:rFonts w:hint="default" w:ascii="Times New Roman" w:hAnsi="Times New Roman" w:eastAsia="宋体" w:cs="Times New Roman"/>
                <w:color w:val="auto"/>
                <w:sz w:val="24"/>
                <w:szCs w:val="32"/>
              </w:rPr>
              <w:t>与</w:t>
            </w:r>
            <w:r>
              <w:rPr>
                <w:rFonts w:hint="eastAsia" w:cs="Times New Roman"/>
                <w:color w:val="auto"/>
                <w:sz w:val="24"/>
                <w:szCs w:val="32"/>
                <w:lang w:val="en-US" w:eastAsia="zh-CN"/>
              </w:rPr>
              <w:t>生态环境准入清单</w:t>
            </w:r>
            <w:r>
              <w:rPr>
                <w:rFonts w:hint="default" w:ascii="Times New Roman" w:hAnsi="Times New Roman" w:eastAsia="宋体" w:cs="Times New Roman"/>
                <w:color w:val="auto"/>
                <w:sz w:val="24"/>
                <w:szCs w:val="32"/>
              </w:rPr>
              <w:t>的相符性分析</w:t>
            </w:r>
          </w:p>
          <w:tbl>
            <w:tblPr>
              <w:tblStyle w:val="9"/>
              <w:tblW w:w="4995" w:type="pct"/>
              <w:tblInd w:w="-15"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14"/>
              <w:gridCol w:w="5130"/>
              <w:gridCol w:w="1103"/>
              <w:gridCol w:w="755"/>
            </w:tblGrid>
            <w:tr w14:paraId="24514C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853" w:type="pct"/>
                  <w:gridSpan w:val="2"/>
                  <w:tcBorders>
                    <w:tl2br w:val="nil"/>
                    <w:tr2bl w:val="nil"/>
                  </w:tcBorders>
                  <w:noWrap w:val="0"/>
                  <w:vAlign w:val="center"/>
                </w:tcPr>
                <w:p w14:paraId="12BE8A2F">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b/>
                      <w:bCs/>
                      <w:color w:val="auto"/>
                      <w:lang w:val="en-US" w:eastAsia="zh-CN"/>
                    </w:rPr>
                  </w:pPr>
                  <w:r>
                    <w:rPr>
                      <w:rFonts w:hint="default" w:ascii="Times New Roman" w:hAnsi="Times New Roman" w:eastAsia="宋体" w:cs="Times New Roman"/>
                      <w:b/>
                      <w:bCs/>
                      <w:color w:val="auto"/>
                    </w:rPr>
                    <w:t>文件要求</w:t>
                  </w:r>
                  <w:r>
                    <w:rPr>
                      <w:rFonts w:hint="eastAsia" w:ascii="Times New Roman" w:cs="Times New Roman"/>
                      <w:b/>
                      <w:bCs/>
                      <w:color w:val="auto"/>
                      <w:lang w:eastAsia="zh-CN"/>
                    </w:rPr>
                    <w:t>（重点管控单元）</w:t>
                  </w:r>
                </w:p>
              </w:tc>
              <w:tc>
                <w:tcPr>
                  <w:tcW w:w="680" w:type="pct"/>
                  <w:tcBorders>
                    <w:tl2br w:val="nil"/>
                    <w:tr2bl w:val="nil"/>
                  </w:tcBorders>
                  <w:noWrap w:val="0"/>
                  <w:vAlign w:val="center"/>
                </w:tcPr>
                <w:p w14:paraId="411E81DB">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auto"/>
                    </w:rPr>
                  </w:pPr>
                  <w:r>
                    <w:rPr>
                      <w:rFonts w:hint="default" w:ascii="Times New Roman" w:hAnsi="Times New Roman" w:eastAsia="宋体" w:cs="Times New Roman"/>
                      <w:b/>
                      <w:bCs/>
                      <w:color w:val="auto"/>
                    </w:rPr>
                    <w:t>本项目情况</w:t>
                  </w:r>
                </w:p>
              </w:tc>
              <w:tc>
                <w:tcPr>
                  <w:tcW w:w="465" w:type="pct"/>
                  <w:tcBorders>
                    <w:tl2br w:val="nil"/>
                    <w:tr2bl w:val="nil"/>
                  </w:tcBorders>
                  <w:noWrap w:val="0"/>
                  <w:vAlign w:val="center"/>
                </w:tcPr>
                <w:p w14:paraId="42F57D67">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auto"/>
                    </w:rPr>
                  </w:pPr>
                  <w:r>
                    <w:rPr>
                      <w:rFonts w:hint="default" w:ascii="Times New Roman" w:hAnsi="Times New Roman" w:eastAsia="宋体" w:cs="Times New Roman"/>
                      <w:b/>
                      <w:bCs/>
                      <w:color w:val="auto"/>
                    </w:rPr>
                    <w:t>符合性</w:t>
                  </w:r>
                </w:p>
              </w:tc>
            </w:tr>
            <w:tr w14:paraId="579713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7" w:type="pct"/>
                  <w:tcBorders>
                    <w:tl2br w:val="nil"/>
                    <w:tr2bl w:val="nil"/>
                  </w:tcBorders>
                  <w:noWrap w:val="0"/>
                  <w:vAlign w:val="center"/>
                </w:tcPr>
                <w:p w14:paraId="3A55F1B3">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空间布局约束</w:t>
                  </w:r>
                </w:p>
              </w:tc>
              <w:tc>
                <w:tcPr>
                  <w:tcW w:w="3165" w:type="pct"/>
                  <w:tcBorders>
                    <w:tl2br w:val="nil"/>
                    <w:tr2bl w:val="nil"/>
                  </w:tcBorders>
                  <w:noWrap w:val="0"/>
                  <w:vAlign w:val="center"/>
                </w:tcPr>
                <w:p w14:paraId="4723B113">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both"/>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1.1：严禁生活污水、工业废水直排入湖和向湖内倾倒垃圾。</w:t>
                  </w:r>
                </w:p>
                <w:p w14:paraId="48660E59">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both"/>
                    <w:textAlignment w:val="auto"/>
                    <w:rPr>
                      <w:rFonts w:hint="eastAsia" w:ascii="Times New Roman" w:cs="Times New Roman"/>
                      <w:color w:val="auto"/>
                      <w:lang w:val="en-US" w:eastAsia="zh-CN"/>
                    </w:rPr>
                  </w:pPr>
                  <w:r>
                    <w:rPr>
                      <w:rFonts w:hint="eastAsia" w:ascii="Times New Roman" w:cs="Times New Roman"/>
                      <w:color w:val="auto"/>
                      <w:lang w:val="en-US" w:eastAsia="zh-CN"/>
                    </w:rPr>
                    <w:t>1.2严格落实河长制、湖长制，实施好长江十年禁渔。</w:t>
                  </w:r>
                </w:p>
                <w:p w14:paraId="6FB8793B">
                  <w:pPr>
                    <w:rPr>
                      <w:rFonts w:hint="default"/>
                      <w:color w:val="auto"/>
                      <w:lang w:val="en-US"/>
                    </w:rPr>
                  </w:pPr>
                  <w:r>
                    <w:rPr>
                      <w:rFonts w:hint="eastAsia" w:cs="Times New Roman"/>
                      <w:color w:val="auto"/>
                      <w:lang w:val="en-US" w:eastAsia="zh-CN"/>
                    </w:rPr>
                    <w:t>1.3禁止投肥（粪）投饵养殖.....</w:t>
                  </w:r>
                </w:p>
              </w:tc>
              <w:tc>
                <w:tcPr>
                  <w:tcW w:w="680" w:type="pct"/>
                  <w:tcBorders>
                    <w:tl2br w:val="nil"/>
                    <w:tr2bl w:val="nil"/>
                  </w:tcBorders>
                  <w:noWrap w:val="0"/>
                  <w:vAlign w:val="center"/>
                </w:tcPr>
                <w:p w14:paraId="49646E3F">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lang w:val="en-US" w:eastAsia="zh-CN"/>
                    </w:rPr>
                  </w:pPr>
                  <w:r>
                    <w:rPr>
                      <w:rFonts w:hint="eastAsia" w:ascii="Times New Roman" w:cs="Times New Roman"/>
                      <w:color w:val="auto"/>
                      <w:lang w:val="en-US" w:eastAsia="zh-CN"/>
                    </w:rPr>
                    <w:t>不涉及</w:t>
                  </w:r>
                </w:p>
              </w:tc>
              <w:tc>
                <w:tcPr>
                  <w:tcW w:w="465" w:type="pct"/>
                  <w:tcBorders>
                    <w:tl2br w:val="nil"/>
                    <w:tr2bl w:val="nil"/>
                  </w:tcBorders>
                  <w:noWrap w:val="0"/>
                  <w:vAlign w:val="center"/>
                </w:tcPr>
                <w:p w14:paraId="28144CFA">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符合</w:t>
                  </w:r>
                </w:p>
              </w:tc>
            </w:tr>
            <w:tr w14:paraId="38B990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7" w:type="pct"/>
                  <w:tcBorders>
                    <w:tl2br w:val="nil"/>
                    <w:tr2bl w:val="nil"/>
                  </w:tcBorders>
                  <w:noWrap w:val="0"/>
                  <w:vAlign w:val="center"/>
                </w:tcPr>
                <w:p w14:paraId="229CA607">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污染物排放管控</w:t>
                  </w:r>
                </w:p>
              </w:tc>
              <w:tc>
                <w:tcPr>
                  <w:tcW w:w="3165" w:type="pct"/>
                  <w:tcBorders>
                    <w:tl2br w:val="nil"/>
                    <w:tr2bl w:val="nil"/>
                  </w:tcBorders>
                  <w:noWrap w:val="0"/>
                  <w:vAlign w:val="center"/>
                </w:tcPr>
                <w:p w14:paraId="5C79E539">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both"/>
                    <w:textAlignment w:val="auto"/>
                    <w:rPr>
                      <w:rFonts w:hint="eastAsia" w:ascii="Times New Roman" w:cs="Times New Roman"/>
                      <w:color w:val="auto"/>
                      <w:lang w:val="en-US" w:eastAsia="zh-CN"/>
                    </w:rPr>
                  </w:pPr>
                  <w:r>
                    <w:rPr>
                      <w:rFonts w:hint="default" w:ascii="Times New Roman" w:hAnsi="Times New Roman" w:eastAsia="宋体" w:cs="Times New Roman"/>
                      <w:color w:val="auto"/>
                    </w:rPr>
                    <w:t>2</w:t>
                  </w:r>
                  <w:r>
                    <w:rPr>
                      <w:rFonts w:hint="eastAsia" w:ascii="Times New Roman" w:cs="Times New Roman"/>
                      <w:color w:val="auto"/>
                      <w:lang w:val="en-US" w:eastAsia="zh-CN"/>
                    </w:rPr>
                    <w:t>.1</w:t>
                  </w:r>
                  <w:r>
                    <w:rPr>
                      <w:rFonts w:hint="default" w:ascii="Times New Roman" w:hAnsi="Times New Roman" w:eastAsia="宋体" w:cs="Times New Roman"/>
                      <w:color w:val="auto"/>
                    </w:rPr>
                    <w:t>.废气：聚焦臭氧前体物VOCs</w:t>
                  </w:r>
                  <w:r>
                    <w:rPr>
                      <w:rFonts w:hint="eastAsia" w:ascii="Times New Roman" w:cs="Times New Roman"/>
                      <w:color w:val="auto"/>
                      <w:lang w:val="en-US" w:eastAsia="zh-CN"/>
                    </w:rPr>
                    <w:t>......</w:t>
                  </w:r>
                </w:p>
                <w:p w14:paraId="68F1986B">
                  <w:pPr>
                    <w:rPr>
                      <w:rFonts w:hint="eastAsia" w:cs="Times New Roman"/>
                      <w:color w:val="auto"/>
                      <w:lang w:val="en-US" w:eastAsia="zh-CN"/>
                    </w:rPr>
                  </w:pPr>
                  <w:r>
                    <w:rPr>
                      <w:rFonts w:hint="eastAsia" w:cs="Times New Roman"/>
                      <w:color w:val="auto"/>
                      <w:lang w:val="en-US" w:eastAsia="zh-CN"/>
                    </w:rPr>
                    <w:t>2.2废水：....加速城市老旧管网改造....。</w:t>
                  </w:r>
                </w:p>
                <w:p w14:paraId="14E36C8C">
                  <w:pPr>
                    <w:rPr>
                      <w:rFonts w:hint="eastAsia" w:cs="Times New Roman"/>
                      <w:color w:val="auto"/>
                      <w:lang w:val="en-US" w:eastAsia="zh-CN"/>
                    </w:rPr>
                  </w:pPr>
                  <w:r>
                    <w:rPr>
                      <w:rFonts w:hint="eastAsia" w:cs="Times New Roman"/>
                      <w:color w:val="auto"/>
                      <w:lang w:val="en-US" w:eastAsia="zh-CN"/>
                    </w:rPr>
                    <w:t>2.3固体废物：推进农村生活垃圾源头....。</w:t>
                  </w:r>
                </w:p>
                <w:p w14:paraId="08F04E7E">
                  <w:pPr>
                    <w:rPr>
                      <w:rFonts w:hint="default" w:cs="Times New Roman"/>
                      <w:color w:val="auto"/>
                      <w:lang w:val="en-US" w:eastAsia="zh-CN"/>
                    </w:rPr>
                  </w:pPr>
                  <w:r>
                    <w:rPr>
                      <w:rFonts w:hint="eastAsia" w:cs="Times New Roman"/>
                      <w:color w:val="auto"/>
                      <w:lang w:val="en-US" w:eastAsia="zh-CN"/>
                    </w:rPr>
                    <w:t>2.4农业面源：深入推进化肥农药减量增效....。</w:t>
                  </w:r>
                </w:p>
              </w:tc>
              <w:tc>
                <w:tcPr>
                  <w:tcW w:w="680" w:type="pct"/>
                  <w:tcBorders>
                    <w:tl2br w:val="nil"/>
                    <w:tr2bl w:val="nil"/>
                  </w:tcBorders>
                  <w:noWrap w:val="0"/>
                  <w:vAlign w:val="center"/>
                </w:tcPr>
                <w:p w14:paraId="62686038">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lang w:eastAsia="zh-CN"/>
                    </w:rPr>
                  </w:pPr>
                  <w:r>
                    <w:rPr>
                      <w:rFonts w:hint="eastAsia" w:ascii="Times New Roman" w:cs="Times New Roman"/>
                      <w:color w:val="auto"/>
                      <w:lang w:val="en-US" w:eastAsia="zh-CN"/>
                    </w:rPr>
                    <w:t>属于老旧管网改造</w:t>
                  </w:r>
                </w:p>
              </w:tc>
              <w:tc>
                <w:tcPr>
                  <w:tcW w:w="465" w:type="pct"/>
                  <w:tcBorders>
                    <w:tl2br w:val="nil"/>
                    <w:tr2bl w:val="nil"/>
                  </w:tcBorders>
                  <w:noWrap w:val="0"/>
                  <w:vAlign w:val="center"/>
                </w:tcPr>
                <w:p w14:paraId="6FF5D1D6">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符合</w:t>
                  </w:r>
                </w:p>
              </w:tc>
            </w:tr>
            <w:tr w14:paraId="0656FC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7" w:type="pct"/>
                  <w:tcBorders>
                    <w:tl2br w:val="nil"/>
                    <w:tr2bl w:val="nil"/>
                  </w:tcBorders>
                  <w:noWrap w:val="0"/>
                  <w:vAlign w:val="center"/>
                </w:tcPr>
                <w:p w14:paraId="5772807D">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环境风险防控</w:t>
                  </w:r>
                </w:p>
              </w:tc>
              <w:tc>
                <w:tcPr>
                  <w:tcW w:w="3165" w:type="pct"/>
                  <w:tcBorders>
                    <w:tl2br w:val="nil"/>
                    <w:tr2bl w:val="nil"/>
                  </w:tcBorders>
                  <w:noWrap w:val="0"/>
                  <w:vAlign w:val="center"/>
                </w:tcPr>
                <w:p w14:paraId="4C724804">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both"/>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3.1 开展重点涉农街道（乡）受污染耕地土壤</w:t>
                  </w:r>
                  <w:r>
                    <w:rPr>
                      <w:rFonts w:hint="eastAsia" w:ascii="Times New Roman" w:cs="Times New Roman"/>
                      <w:color w:val="auto"/>
                      <w:lang w:val="en-US" w:eastAsia="zh-CN"/>
                    </w:rPr>
                    <w:t>....</w:t>
                  </w:r>
                  <w:r>
                    <w:rPr>
                      <w:rFonts w:hint="default" w:ascii="Times New Roman" w:hAnsi="Times New Roman" w:eastAsia="宋体" w:cs="Times New Roman"/>
                      <w:color w:val="auto"/>
                    </w:rPr>
                    <w:t>。</w:t>
                  </w:r>
                </w:p>
                <w:p w14:paraId="5F1B8316">
                  <w:pPr>
                    <w:rPr>
                      <w:rFonts w:hint="eastAsia" w:cs="Times New Roman"/>
                      <w:color w:val="auto"/>
                      <w:lang w:val="en-US" w:eastAsia="zh-CN"/>
                    </w:rPr>
                  </w:pPr>
                  <w:r>
                    <w:rPr>
                      <w:rFonts w:hint="eastAsia" w:cs="Times New Roman"/>
                      <w:color w:val="auto"/>
                      <w:lang w:val="en-US" w:eastAsia="zh-CN"/>
                    </w:rPr>
                    <w:t>3.2有效管控建设用地土壤污染风险....</w:t>
                  </w:r>
                </w:p>
                <w:p w14:paraId="146F6F59">
                  <w:pPr>
                    <w:rPr>
                      <w:rFonts w:hint="default" w:cs="Times New Roman"/>
                      <w:color w:val="auto"/>
                      <w:lang w:val="en-US" w:eastAsia="zh-CN"/>
                    </w:rPr>
                  </w:pPr>
                  <w:r>
                    <w:rPr>
                      <w:rFonts w:hint="eastAsia" w:cs="Times New Roman"/>
                      <w:color w:val="auto"/>
                      <w:lang w:val="en-US" w:eastAsia="zh-CN"/>
                    </w:rPr>
                    <w:t>3.3推进农用地土壤污染防治和....</w:t>
                  </w:r>
                  <w:r>
                    <w:rPr>
                      <w:rFonts w:hint="eastAsia" w:ascii="Times New Roman" w:cs="Times New Roman"/>
                      <w:color w:val="auto"/>
                      <w:lang w:val="en-US" w:eastAsia="zh-CN"/>
                    </w:rPr>
                    <w:t>....</w:t>
                  </w:r>
                </w:p>
              </w:tc>
              <w:tc>
                <w:tcPr>
                  <w:tcW w:w="680" w:type="pct"/>
                  <w:tcBorders>
                    <w:tl2br w:val="nil"/>
                    <w:tr2bl w:val="nil"/>
                  </w:tcBorders>
                  <w:noWrap w:val="0"/>
                  <w:vAlign w:val="center"/>
                </w:tcPr>
                <w:p w14:paraId="3FDFD92D">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lang w:val="en-US" w:eastAsia="zh-CN"/>
                    </w:rPr>
                  </w:pPr>
                  <w:r>
                    <w:rPr>
                      <w:rFonts w:hint="eastAsia" w:ascii="Times New Roman" w:cs="Times New Roman"/>
                      <w:color w:val="auto"/>
                      <w:lang w:val="en-US" w:eastAsia="zh-CN"/>
                    </w:rPr>
                    <w:t>不涉及</w:t>
                  </w:r>
                </w:p>
              </w:tc>
              <w:tc>
                <w:tcPr>
                  <w:tcW w:w="465" w:type="pct"/>
                  <w:tcBorders>
                    <w:tl2br w:val="nil"/>
                    <w:tr2bl w:val="nil"/>
                  </w:tcBorders>
                  <w:noWrap w:val="0"/>
                  <w:vAlign w:val="center"/>
                </w:tcPr>
                <w:p w14:paraId="3D062CDA">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符合</w:t>
                  </w:r>
                </w:p>
              </w:tc>
            </w:tr>
            <w:tr w14:paraId="4E5B3FB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7" w:type="pct"/>
                  <w:vMerge w:val="restart"/>
                  <w:tcBorders>
                    <w:tl2br w:val="nil"/>
                    <w:tr2bl w:val="nil"/>
                  </w:tcBorders>
                  <w:noWrap w:val="0"/>
                  <w:vAlign w:val="center"/>
                </w:tcPr>
                <w:p w14:paraId="2C7837D0">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资源开发效率要求</w:t>
                  </w:r>
                </w:p>
              </w:tc>
              <w:tc>
                <w:tcPr>
                  <w:tcW w:w="3165" w:type="pct"/>
                  <w:tcBorders>
                    <w:tl2br w:val="nil"/>
                    <w:tr2bl w:val="nil"/>
                  </w:tcBorders>
                  <w:noWrap w:val="0"/>
                  <w:vAlign w:val="center"/>
                </w:tcPr>
                <w:p w14:paraId="6455EC4B">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both"/>
                    <w:textAlignment w:val="auto"/>
                    <w:rPr>
                      <w:rFonts w:hint="default" w:cs="Times New Roman"/>
                      <w:color w:val="auto"/>
                      <w:lang w:val="en-US" w:eastAsia="zh-CN"/>
                    </w:rPr>
                  </w:pPr>
                  <w:r>
                    <w:rPr>
                      <w:rFonts w:hint="default" w:ascii="Times New Roman" w:hAnsi="Times New Roman" w:eastAsia="宋体" w:cs="Times New Roman"/>
                      <w:color w:val="auto"/>
                    </w:rPr>
                    <w:t>4.1 水资源：万元地区生产总值用水量比2020年下降</w:t>
                  </w:r>
                  <w:r>
                    <w:rPr>
                      <w:rFonts w:hint="eastAsia" w:ascii="Times New Roman" w:cs="Times New Roman"/>
                      <w:color w:val="auto"/>
                      <w:lang w:val="en-US" w:eastAsia="zh-CN"/>
                    </w:rPr>
                    <w:t>...</w:t>
                  </w:r>
                </w:p>
              </w:tc>
              <w:tc>
                <w:tcPr>
                  <w:tcW w:w="680" w:type="pct"/>
                  <w:tcBorders>
                    <w:tl2br w:val="nil"/>
                    <w:tr2bl w:val="nil"/>
                  </w:tcBorders>
                  <w:noWrap w:val="0"/>
                  <w:vAlign w:val="center"/>
                </w:tcPr>
                <w:p w14:paraId="6262DAED">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lang w:eastAsia="zh-CN"/>
                    </w:rPr>
                  </w:pPr>
                  <w:r>
                    <w:rPr>
                      <w:rFonts w:hint="eastAsia" w:ascii="Times New Roman" w:cs="Times New Roman"/>
                      <w:color w:val="auto"/>
                      <w:lang w:val="en-US" w:eastAsia="zh-CN"/>
                    </w:rPr>
                    <w:t>不涉及</w:t>
                  </w:r>
                </w:p>
              </w:tc>
              <w:tc>
                <w:tcPr>
                  <w:tcW w:w="465" w:type="pct"/>
                  <w:tcBorders>
                    <w:tl2br w:val="nil"/>
                    <w:tr2bl w:val="nil"/>
                  </w:tcBorders>
                  <w:noWrap w:val="0"/>
                  <w:vAlign w:val="center"/>
                </w:tcPr>
                <w:p w14:paraId="1268E89C">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符合</w:t>
                  </w:r>
                </w:p>
              </w:tc>
            </w:tr>
            <w:tr w14:paraId="29B529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7" w:type="pct"/>
                  <w:vMerge w:val="continue"/>
                  <w:tcBorders>
                    <w:tl2br w:val="nil"/>
                    <w:tr2bl w:val="nil"/>
                  </w:tcBorders>
                  <w:noWrap w:val="0"/>
                  <w:vAlign w:val="center"/>
                </w:tcPr>
                <w:p w14:paraId="59E6E55F">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p>
              </w:tc>
              <w:tc>
                <w:tcPr>
                  <w:tcW w:w="3165" w:type="pct"/>
                  <w:tcBorders>
                    <w:tl2br w:val="nil"/>
                    <w:tr2bl w:val="nil"/>
                  </w:tcBorders>
                  <w:noWrap w:val="0"/>
                  <w:vAlign w:val="center"/>
                </w:tcPr>
                <w:p w14:paraId="172813D0">
                  <w:pPr>
                    <w:rPr>
                      <w:rFonts w:hint="default" w:ascii="Times New Roman" w:hAnsi="Times New Roman" w:eastAsia="宋体" w:cs="Times New Roman"/>
                      <w:color w:val="auto"/>
                    </w:rPr>
                  </w:pPr>
                  <w:r>
                    <w:rPr>
                      <w:rFonts w:hint="eastAsia" w:cs="Times New Roman"/>
                      <w:color w:val="auto"/>
                      <w:lang w:val="en-US" w:eastAsia="zh-CN"/>
                    </w:rPr>
                    <w:t>4.2能源：能耗按照各区.....</w:t>
                  </w:r>
                </w:p>
              </w:tc>
              <w:tc>
                <w:tcPr>
                  <w:tcW w:w="680" w:type="pct"/>
                  <w:tcBorders>
                    <w:tl2br w:val="nil"/>
                    <w:tr2bl w:val="nil"/>
                  </w:tcBorders>
                  <w:noWrap w:val="0"/>
                  <w:vAlign w:val="center"/>
                </w:tcPr>
                <w:p w14:paraId="0A32EA26">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lang w:val="en-US" w:eastAsia="zh-CN"/>
                    </w:rPr>
                  </w:pPr>
                  <w:r>
                    <w:rPr>
                      <w:rFonts w:hint="eastAsia" w:ascii="Times New Roman" w:cs="Times New Roman"/>
                      <w:color w:val="auto"/>
                      <w:lang w:val="en-US" w:eastAsia="zh-CN"/>
                    </w:rPr>
                    <w:t>不涉及</w:t>
                  </w:r>
                </w:p>
              </w:tc>
              <w:tc>
                <w:tcPr>
                  <w:tcW w:w="465" w:type="pct"/>
                  <w:tcBorders>
                    <w:tl2br w:val="nil"/>
                    <w:tr2bl w:val="nil"/>
                  </w:tcBorders>
                  <w:noWrap w:val="0"/>
                  <w:vAlign w:val="center"/>
                </w:tcPr>
                <w:p w14:paraId="6CA07DB4">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符合</w:t>
                  </w:r>
                </w:p>
              </w:tc>
            </w:tr>
            <w:tr w14:paraId="6CB687C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7" w:type="pct"/>
                  <w:vMerge w:val="continue"/>
                  <w:tcBorders>
                    <w:tl2br w:val="nil"/>
                    <w:tr2bl w:val="nil"/>
                  </w:tcBorders>
                  <w:noWrap w:val="0"/>
                  <w:vAlign w:val="center"/>
                </w:tcPr>
                <w:p w14:paraId="71BB241C">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p>
              </w:tc>
              <w:tc>
                <w:tcPr>
                  <w:tcW w:w="3165" w:type="pct"/>
                  <w:tcBorders>
                    <w:tl2br w:val="nil"/>
                    <w:tr2bl w:val="nil"/>
                  </w:tcBorders>
                  <w:noWrap w:val="0"/>
                  <w:vAlign w:val="center"/>
                </w:tcPr>
                <w:p w14:paraId="2A3D8D9F">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both"/>
                    <w:textAlignment w:val="auto"/>
                    <w:rPr>
                      <w:rFonts w:hint="eastAsia" w:cs="Times New Roman"/>
                      <w:color w:val="auto"/>
                      <w:lang w:val="en-US" w:eastAsia="zh-CN"/>
                    </w:rPr>
                  </w:pPr>
                  <w:r>
                    <w:rPr>
                      <w:rFonts w:hint="eastAsia" w:cs="Times New Roman"/>
                      <w:color w:val="auto"/>
                      <w:lang w:val="en-US" w:eastAsia="zh-CN"/>
                    </w:rPr>
                    <w:t>4.3土地资源：岳阳楼区耕地保有量52.55km</w:t>
                  </w:r>
                  <w:r>
                    <w:rPr>
                      <w:rFonts w:hint="eastAsia" w:cs="Times New Roman"/>
                      <w:color w:val="auto"/>
                      <w:vertAlign w:val="superscript"/>
                      <w:lang w:val="en-US" w:eastAsia="zh-CN"/>
                    </w:rPr>
                    <w:t>2</w:t>
                  </w:r>
                  <w:r>
                    <w:rPr>
                      <w:rFonts w:hint="eastAsia" w:cs="Times New Roman"/>
                      <w:color w:val="auto"/>
                      <w:lang w:val="en-US" w:eastAsia="zh-CN"/>
                    </w:rPr>
                    <w:t>，永</w:t>
                  </w:r>
                </w:p>
                <w:p w14:paraId="50020371">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both"/>
                    <w:textAlignment w:val="auto"/>
                    <w:rPr>
                      <w:rFonts w:hint="default" w:ascii="Times New Roman" w:hAnsi="Times New Roman" w:eastAsia="宋体" w:cs="Times New Roman"/>
                      <w:color w:val="auto"/>
                    </w:rPr>
                  </w:pPr>
                  <w:r>
                    <w:rPr>
                      <w:rFonts w:hint="eastAsia" w:cs="Times New Roman"/>
                      <w:color w:val="auto"/>
                      <w:lang w:val="en-US" w:eastAsia="zh-CN"/>
                    </w:rPr>
                    <w:t>久基本农田保护面积30.64km</w:t>
                  </w:r>
                  <w:r>
                    <w:rPr>
                      <w:rFonts w:hint="eastAsia" w:cs="Times New Roman"/>
                      <w:color w:val="auto"/>
                      <w:vertAlign w:val="superscript"/>
                      <w:lang w:val="en-US" w:eastAsia="zh-CN"/>
                    </w:rPr>
                    <w:t>2</w:t>
                  </w:r>
                  <w:r>
                    <w:rPr>
                      <w:rFonts w:hint="eastAsia" w:cs="Times New Roman"/>
                      <w:color w:val="auto"/>
                      <w:lang w:val="en-US" w:eastAsia="zh-CN"/>
                    </w:rPr>
                    <w:t>。生态保护红线面积7.05km</w:t>
                  </w:r>
                  <w:r>
                    <w:rPr>
                      <w:rFonts w:hint="eastAsia" w:cs="Times New Roman"/>
                      <w:color w:val="auto"/>
                      <w:vertAlign w:val="superscript"/>
                      <w:lang w:val="en-US" w:eastAsia="zh-CN"/>
                    </w:rPr>
                    <w:t>2</w:t>
                  </w:r>
                  <w:r>
                    <w:rPr>
                      <w:rFonts w:hint="eastAsia" w:cs="Times New Roman"/>
                      <w:color w:val="auto"/>
                      <w:lang w:val="en-US" w:eastAsia="zh-CN"/>
                    </w:rPr>
                    <w:t>，城镇开发边界146.96km</w:t>
                  </w:r>
                  <w:r>
                    <w:rPr>
                      <w:rFonts w:hint="eastAsia" w:cs="Times New Roman"/>
                      <w:color w:val="auto"/>
                      <w:vertAlign w:val="superscript"/>
                      <w:lang w:val="en-US" w:eastAsia="zh-CN"/>
                    </w:rPr>
                    <w:t>2</w:t>
                  </w:r>
                  <w:r>
                    <w:rPr>
                      <w:rFonts w:hint="eastAsia" w:cs="Times New Roman"/>
                      <w:color w:val="auto"/>
                      <w:lang w:val="en-US" w:eastAsia="zh-CN"/>
                    </w:rPr>
                    <w:t>。</w:t>
                  </w:r>
                </w:p>
              </w:tc>
              <w:tc>
                <w:tcPr>
                  <w:tcW w:w="680" w:type="pct"/>
                  <w:tcBorders>
                    <w:tl2br w:val="nil"/>
                    <w:tr2bl w:val="nil"/>
                  </w:tcBorders>
                  <w:noWrap w:val="0"/>
                  <w:vAlign w:val="center"/>
                </w:tcPr>
                <w:p w14:paraId="7388C8AB">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lang w:eastAsia="zh-CN"/>
                    </w:rPr>
                  </w:pPr>
                  <w:r>
                    <w:rPr>
                      <w:rFonts w:hint="eastAsia" w:ascii="Times New Roman" w:cs="Times New Roman"/>
                      <w:color w:val="auto"/>
                      <w:lang w:eastAsia="zh-CN"/>
                    </w:rPr>
                    <w:t>项目不新增占地</w:t>
                  </w:r>
                </w:p>
              </w:tc>
              <w:tc>
                <w:tcPr>
                  <w:tcW w:w="465" w:type="pct"/>
                  <w:tcBorders>
                    <w:tl2br w:val="nil"/>
                    <w:tr2bl w:val="nil"/>
                  </w:tcBorders>
                  <w:noWrap w:val="0"/>
                  <w:vAlign w:val="center"/>
                </w:tcPr>
                <w:p w14:paraId="4A2BEA25">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符合</w:t>
                  </w:r>
                </w:p>
              </w:tc>
            </w:tr>
          </w:tbl>
          <w:p w14:paraId="2B8D75A2">
            <w:pPr>
              <w:pStyle w:val="22"/>
              <w:rPr>
                <w:rFonts w:hint="default" w:ascii="Times New Roman" w:hAnsi="Times New Roman" w:eastAsia="宋体" w:cs="Times New Roman"/>
                <w:color w:val="auto"/>
                <w:sz w:val="24"/>
                <w:szCs w:val="32"/>
              </w:rPr>
            </w:pPr>
            <w:r>
              <w:rPr>
                <w:rFonts w:hint="default" w:ascii="Times New Roman" w:hAnsi="Times New Roman" w:eastAsia="宋体" w:cs="Times New Roman"/>
                <w:color w:val="auto"/>
                <w:sz w:val="24"/>
                <w:szCs w:val="32"/>
              </w:rPr>
              <w:t>表1</w:t>
            </w:r>
            <w:r>
              <w:rPr>
                <w:rFonts w:hint="eastAsia" w:ascii="Times New Roman" w:hAnsi="Times New Roman" w:eastAsia="宋体" w:cs="Times New Roman"/>
                <w:color w:val="auto"/>
                <w:sz w:val="24"/>
                <w:szCs w:val="32"/>
                <w:lang w:val="en-US" w:eastAsia="zh-CN"/>
              </w:rPr>
              <w:t>.</w:t>
            </w:r>
            <w:r>
              <w:rPr>
                <w:rFonts w:hint="eastAsia" w:cs="Times New Roman"/>
                <w:color w:val="auto"/>
                <w:sz w:val="24"/>
                <w:szCs w:val="32"/>
                <w:lang w:val="en-US" w:eastAsia="zh-CN"/>
              </w:rPr>
              <w:t>4</w:t>
            </w:r>
            <w:r>
              <w:rPr>
                <w:rFonts w:hint="default" w:ascii="Times New Roman" w:hAnsi="Times New Roman" w:eastAsia="宋体" w:cs="Times New Roman"/>
                <w:color w:val="auto"/>
                <w:sz w:val="24"/>
                <w:szCs w:val="32"/>
              </w:rPr>
              <w:t xml:space="preserve">  </w:t>
            </w:r>
            <w:r>
              <w:rPr>
                <w:rFonts w:hint="eastAsia" w:cs="Times New Roman"/>
                <w:color w:val="auto"/>
                <w:sz w:val="24"/>
                <w:szCs w:val="32"/>
                <w:lang w:eastAsia="zh-CN"/>
              </w:rPr>
              <w:t>项目与</w:t>
            </w:r>
            <w:r>
              <w:rPr>
                <w:rFonts w:hint="eastAsia" w:cs="Times New Roman"/>
                <w:color w:val="auto"/>
                <w:sz w:val="24"/>
                <w:szCs w:val="32"/>
                <w:lang w:val="en-US" w:eastAsia="zh-CN"/>
              </w:rPr>
              <w:t>生态环境准入清单</w:t>
            </w:r>
            <w:r>
              <w:rPr>
                <w:rFonts w:hint="default" w:ascii="Times New Roman" w:hAnsi="Times New Roman" w:eastAsia="宋体" w:cs="Times New Roman"/>
                <w:color w:val="auto"/>
                <w:sz w:val="24"/>
                <w:szCs w:val="32"/>
              </w:rPr>
              <w:t>的相符性分析</w:t>
            </w:r>
          </w:p>
          <w:tbl>
            <w:tblPr>
              <w:tblStyle w:val="9"/>
              <w:tblW w:w="4995" w:type="pct"/>
              <w:tblInd w:w="-15"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64"/>
              <w:gridCol w:w="4924"/>
              <w:gridCol w:w="1459"/>
              <w:gridCol w:w="755"/>
            </w:tblGrid>
            <w:tr w14:paraId="13E209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633" w:type="pct"/>
                  <w:gridSpan w:val="2"/>
                  <w:tcBorders>
                    <w:tl2br w:val="nil"/>
                    <w:tr2bl w:val="nil"/>
                  </w:tcBorders>
                  <w:noWrap w:val="0"/>
                  <w:vAlign w:val="center"/>
                </w:tcPr>
                <w:p w14:paraId="4BD0E5AE">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b/>
                      <w:bCs/>
                      <w:color w:val="auto"/>
                      <w:lang w:val="en-US" w:eastAsia="zh-CN"/>
                    </w:rPr>
                  </w:pPr>
                  <w:r>
                    <w:rPr>
                      <w:rFonts w:hint="default" w:ascii="Times New Roman" w:hAnsi="Times New Roman" w:eastAsia="宋体" w:cs="Times New Roman"/>
                      <w:b/>
                      <w:bCs/>
                      <w:color w:val="auto"/>
                    </w:rPr>
                    <w:t>文件要求</w:t>
                  </w:r>
                  <w:r>
                    <w:rPr>
                      <w:rFonts w:hint="eastAsia" w:ascii="Times New Roman" w:cs="Times New Roman"/>
                      <w:b/>
                      <w:bCs/>
                      <w:color w:val="auto"/>
                      <w:lang w:eastAsia="zh-CN"/>
                    </w:rPr>
                    <w:t>（一般管控单元）</w:t>
                  </w:r>
                </w:p>
              </w:tc>
              <w:tc>
                <w:tcPr>
                  <w:tcW w:w="900" w:type="pct"/>
                  <w:tcBorders>
                    <w:tl2br w:val="nil"/>
                    <w:tr2bl w:val="nil"/>
                  </w:tcBorders>
                  <w:noWrap w:val="0"/>
                  <w:vAlign w:val="center"/>
                </w:tcPr>
                <w:p w14:paraId="07EF9E6C">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auto"/>
                    </w:rPr>
                  </w:pPr>
                  <w:r>
                    <w:rPr>
                      <w:rFonts w:hint="default" w:ascii="Times New Roman" w:hAnsi="Times New Roman" w:eastAsia="宋体" w:cs="Times New Roman"/>
                      <w:b/>
                      <w:bCs/>
                      <w:color w:val="auto"/>
                    </w:rPr>
                    <w:t>本项目情况</w:t>
                  </w:r>
                </w:p>
              </w:tc>
              <w:tc>
                <w:tcPr>
                  <w:tcW w:w="465" w:type="pct"/>
                  <w:tcBorders>
                    <w:tl2br w:val="nil"/>
                    <w:tr2bl w:val="nil"/>
                  </w:tcBorders>
                  <w:noWrap w:val="0"/>
                  <w:vAlign w:val="center"/>
                </w:tcPr>
                <w:p w14:paraId="58CF19E9">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auto"/>
                    </w:rPr>
                  </w:pPr>
                  <w:r>
                    <w:rPr>
                      <w:rFonts w:hint="default" w:ascii="Times New Roman" w:hAnsi="Times New Roman" w:eastAsia="宋体" w:cs="Times New Roman"/>
                      <w:b/>
                      <w:bCs/>
                      <w:color w:val="auto"/>
                    </w:rPr>
                    <w:t>符合性</w:t>
                  </w:r>
                </w:p>
              </w:tc>
            </w:tr>
            <w:tr w14:paraId="0331D47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4" w:type="pct"/>
                  <w:vMerge w:val="restart"/>
                  <w:tcBorders>
                    <w:tl2br w:val="nil"/>
                    <w:tr2bl w:val="nil"/>
                  </w:tcBorders>
                  <w:noWrap w:val="0"/>
                  <w:vAlign w:val="center"/>
                </w:tcPr>
                <w:p w14:paraId="21DC1DE7">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空间布局约束</w:t>
                  </w:r>
                </w:p>
              </w:tc>
              <w:tc>
                <w:tcPr>
                  <w:tcW w:w="3038" w:type="pct"/>
                  <w:tcBorders>
                    <w:tl2br w:val="nil"/>
                    <w:tr2bl w:val="nil"/>
                  </w:tcBorders>
                  <w:noWrap w:val="0"/>
                  <w:vAlign w:val="center"/>
                </w:tcPr>
                <w:p w14:paraId="121A3F38">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both"/>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rPr>
                    <w:t>1.1 加强耕地保护，积极开展集中连片的耕地整理，增加有效耕地面积，稳步提高农业综合生产能力。</w:t>
                  </w:r>
                </w:p>
              </w:tc>
              <w:tc>
                <w:tcPr>
                  <w:tcW w:w="900" w:type="pct"/>
                  <w:tcBorders>
                    <w:tl2br w:val="nil"/>
                    <w:tr2bl w:val="nil"/>
                  </w:tcBorders>
                  <w:noWrap w:val="0"/>
                  <w:vAlign w:val="center"/>
                </w:tcPr>
                <w:p w14:paraId="6E5F0239">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lang w:val="en-US" w:eastAsia="zh-CN"/>
                    </w:rPr>
                  </w:pPr>
                  <w:r>
                    <w:rPr>
                      <w:rFonts w:hint="eastAsia" w:ascii="Times New Roman" w:cs="Times New Roman"/>
                      <w:color w:val="auto"/>
                      <w:lang w:val="en-US" w:eastAsia="zh-CN"/>
                    </w:rPr>
                    <w:t>不新增占地</w:t>
                  </w:r>
                </w:p>
              </w:tc>
              <w:tc>
                <w:tcPr>
                  <w:tcW w:w="465" w:type="pct"/>
                  <w:tcBorders>
                    <w:tl2br w:val="nil"/>
                    <w:tr2bl w:val="nil"/>
                  </w:tcBorders>
                  <w:noWrap w:val="0"/>
                  <w:vAlign w:val="center"/>
                </w:tcPr>
                <w:p w14:paraId="011AF26D">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符合</w:t>
                  </w:r>
                </w:p>
              </w:tc>
            </w:tr>
            <w:tr w14:paraId="097EED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4" w:type="pct"/>
                  <w:vMerge w:val="continue"/>
                  <w:tcBorders>
                    <w:tl2br w:val="nil"/>
                    <w:tr2bl w:val="nil"/>
                  </w:tcBorders>
                  <w:noWrap w:val="0"/>
                  <w:vAlign w:val="center"/>
                </w:tcPr>
                <w:p w14:paraId="4519E161">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p>
              </w:tc>
              <w:tc>
                <w:tcPr>
                  <w:tcW w:w="3038" w:type="pct"/>
                  <w:tcBorders>
                    <w:tl2br w:val="nil"/>
                    <w:tr2bl w:val="nil"/>
                  </w:tcBorders>
                  <w:noWrap w:val="0"/>
                  <w:vAlign w:val="center"/>
                </w:tcPr>
                <w:p w14:paraId="4DC8AAF0">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both"/>
                    <w:textAlignment w:val="auto"/>
                    <w:rPr>
                      <w:rFonts w:hint="default" w:ascii="Times New Roman" w:hAnsi="Times New Roman" w:eastAsia="宋体" w:cs="Times New Roman"/>
                      <w:color w:val="auto"/>
                      <w:lang w:val="en-US" w:eastAsia="zh-CN"/>
                    </w:rPr>
                  </w:pPr>
                  <w:r>
                    <w:rPr>
                      <w:rFonts w:hint="eastAsia" w:ascii="Times New Roman" w:cs="Times New Roman"/>
                      <w:color w:val="auto"/>
                      <w:lang w:val="en-US" w:eastAsia="zh-CN"/>
                    </w:rPr>
                    <w:t>1.2禁止投肥（粪）投饵养殖的范围....</w:t>
                  </w:r>
                </w:p>
              </w:tc>
              <w:tc>
                <w:tcPr>
                  <w:tcW w:w="900" w:type="pct"/>
                  <w:tcBorders>
                    <w:tl2br w:val="nil"/>
                    <w:tr2bl w:val="nil"/>
                  </w:tcBorders>
                  <w:noWrap w:val="0"/>
                  <w:vAlign w:val="center"/>
                </w:tcPr>
                <w:p w14:paraId="1B682D1E">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cs="Times New Roman"/>
                      <w:color w:val="auto"/>
                      <w:lang w:val="en-US" w:eastAsia="zh-CN"/>
                    </w:rPr>
                  </w:pPr>
                  <w:r>
                    <w:rPr>
                      <w:rFonts w:hint="eastAsia" w:ascii="Times New Roman" w:cs="Times New Roman"/>
                      <w:color w:val="auto"/>
                      <w:lang w:val="en-US" w:eastAsia="zh-CN"/>
                    </w:rPr>
                    <w:t>不涉及</w:t>
                  </w:r>
                </w:p>
              </w:tc>
              <w:tc>
                <w:tcPr>
                  <w:tcW w:w="465" w:type="pct"/>
                  <w:tcBorders>
                    <w:tl2br w:val="nil"/>
                    <w:tr2bl w:val="nil"/>
                  </w:tcBorders>
                  <w:noWrap w:val="0"/>
                  <w:vAlign w:val="center"/>
                </w:tcPr>
                <w:p w14:paraId="29A30B11">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符合</w:t>
                  </w:r>
                </w:p>
              </w:tc>
            </w:tr>
            <w:tr w14:paraId="1DFAF4C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4" w:type="pct"/>
                  <w:tcBorders>
                    <w:tl2br w:val="nil"/>
                    <w:tr2bl w:val="nil"/>
                  </w:tcBorders>
                  <w:noWrap w:val="0"/>
                  <w:vAlign w:val="center"/>
                </w:tcPr>
                <w:p w14:paraId="15889FEE">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污染物排放管控</w:t>
                  </w:r>
                </w:p>
              </w:tc>
              <w:tc>
                <w:tcPr>
                  <w:tcW w:w="3038" w:type="pct"/>
                  <w:tcBorders>
                    <w:tl2br w:val="nil"/>
                    <w:tr2bl w:val="nil"/>
                  </w:tcBorders>
                  <w:noWrap w:val="0"/>
                  <w:vAlign w:val="center"/>
                </w:tcPr>
                <w:p w14:paraId="3D1064A1">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both"/>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2.1 康王乡：南湖水体、滨岸带、上游集雨范围内的河塘沟汊禁止排放</w:t>
                  </w:r>
                  <w:r>
                    <w:rPr>
                      <w:rFonts w:hint="eastAsia" w:ascii="Times New Roman" w:cs="Times New Roman"/>
                      <w:color w:val="auto"/>
                      <w:lang w:val="en-US" w:eastAsia="zh-CN"/>
                    </w:rPr>
                    <w:t>....</w:t>
                  </w:r>
                  <w:r>
                    <w:rPr>
                      <w:rFonts w:hint="default" w:ascii="Times New Roman" w:hAnsi="Times New Roman" w:eastAsia="宋体" w:cs="Times New Roman"/>
                      <w:color w:val="auto"/>
                    </w:rPr>
                    <w:t>。</w:t>
                  </w:r>
                </w:p>
                <w:p w14:paraId="1F5F3A61">
                  <w:pPr>
                    <w:rPr>
                      <w:rFonts w:hint="default" w:eastAsia="宋体"/>
                      <w:color w:val="auto"/>
                      <w:lang w:val="en-US" w:eastAsia="zh-CN"/>
                    </w:rPr>
                  </w:pPr>
                  <w:r>
                    <w:rPr>
                      <w:rFonts w:hint="eastAsia" w:cs="Times New Roman"/>
                      <w:color w:val="auto"/>
                      <w:lang w:val="en-US" w:eastAsia="zh-CN"/>
                    </w:rPr>
                    <w:t>2.2扎实推进城镇污水垃圾处理....</w:t>
                  </w:r>
                </w:p>
              </w:tc>
              <w:tc>
                <w:tcPr>
                  <w:tcW w:w="900" w:type="pct"/>
                  <w:tcBorders>
                    <w:tl2br w:val="nil"/>
                    <w:tr2bl w:val="nil"/>
                  </w:tcBorders>
                  <w:noWrap w:val="0"/>
                  <w:vAlign w:val="center"/>
                </w:tcPr>
                <w:p w14:paraId="1A300792">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lang w:eastAsia="zh-CN"/>
                    </w:rPr>
                  </w:pPr>
                  <w:r>
                    <w:rPr>
                      <w:rFonts w:hint="eastAsia" w:ascii="Times New Roman" w:cs="Times New Roman"/>
                      <w:color w:val="auto"/>
                      <w:lang w:val="en-US" w:eastAsia="zh-CN"/>
                    </w:rPr>
                    <w:t>不涉及</w:t>
                  </w:r>
                </w:p>
              </w:tc>
              <w:tc>
                <w:tcPr>
                  <w:tcW w:w="465" w:type="pct"/>
                  <w:tcBorders>
                    <w:tl2br w:val="nil"/>
                    <w:tr2bl w:val="nil"/>
                  </w:tcBorders>
                  <w:noWrap w:val="0"/>
                  <w:vAlign w:val="center"/>
                </w:tcPr>
                <w:p w14:paraId="58BBCA8A">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符合</w:t>
                  </w:r>
                </w:p>
              </w:tc>
            </w:tr>
            <w:tr w14:paraId="3EB6BC5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4" w:type="pct"/>
                  <w:tcBorders>
                    <w:tl2br w:val="nil"/>
                    <w:tr2bl w:val="nil"/>
                  </w:tcBorders>
                  <w:noWrap w:val="0"/>
                  <w:vAlign w:val="center"/>
                </w:tcPr>
                <w:p w14:paraId="56D15810">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环境风险防控</w:t>
                  </w:r>
                </w:p>
              </w:tc>
              <w:tc>
                <w:tcPr>
                  <w:tcW w:w="3038" w:type="pct"/>
                  <w:tcBorders>
                    <w:tl2br w:val="nil"/>
                    <w:tr2bl w:val="nil"/>
                  </w:tcBorders>
                  <w:noWrap w:val="0"/>
                  <w:vAlign w:val="center"/>
                </w:tcPr>
                <w:p w14:paraId="664FDD42">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both"/>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3.1开展重点涉农街道（乡）受污染耕地</w:t>
                  </w:r>
                  <w:r>
                    <w:rPr>
                      <w:rFonts w:hint="eastAsia" w:ascii="Times New Roman" w:cs="Times New Roman"/>
                      <w:color w:val="auto"/>
                      <w:lang w:val="en-US" w:eastAsia="zh-CN"/>
                    </w:rPr>
                    <w:t>....</w:t>
                  </w:r>
                  <w:r>
                    <w:rPr>
                      <w:rFonts w:hint="default" w:ascii="Times New Roman" w:hAnsi="Times New Roman" w:eastAsia="宋体" w:cs="Times New Roman"/>
                      <w:color w:val="auto"/>
                    </w:rPr>
                    <w:t>。</w:t>
                  </w:r>
                </w:p>
                <w:p w14:paraId="5425697F">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both"/>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rPr>
                    <w:t>3.2有效管控建设用地土壤污染风险</w:t>
                  </w:r>
                  <w:r>
                    <w:rPr>
                      <w:rFonts w:hint="eastAsia" w:ascii="Times New Roman" w:cs="Times New Roman"/>
                      <w:color w:val="auto"/>
                      <w:lang w:val="en-US" w:eastAsia="zh-CN"/>
                    </w:rPr>
                    <w:t>......</w:t>
                  </w:r>
                </w:p>
                <w:p w14:paraId="2AADE962">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both"/>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rPr>
                    <w:t>3.3推进农用地土壤污染防治</w:t>
                  </w:r>
                  <w:r>
                    <w:rPr>
                      <w:rFonts w:hint="eastAsia" w:ascii="Times New Roman" w:cs="Times New Roman"/>
                      <w:color w:val="auto"/>
                      <w:lang w:val="en-US" w:eastAsia="zh-CN"/>
                    </w:rPr>
                    <w:t>.......</w:t>
                  </w:r>
                </w:p>
              </w:tc>
              <w:tc>
                <w:tcPr>
                  <w:tcW w:w="900" w:type="pct"/>
                  <w:tcBorders>
                    <w:tl2br w:val="nil"/>
                    <w:tr2bl w:val="nil"/>
                  </w:tcBorders>
                  <w:noWrap w:val="0"/>
                  <w:vAlign w:val="center"/>
                </w:tcPr>
                <w:p w14:paraId="2826A095">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lang w:val="en-US" w:eastAsia="zh-CN"/>
                    </w:rPr>
                  </w:pPr>
                  <w:r>
                    <w:rPr>
                      <w:rFonts w:hint="eastAsia" w:ascii="Times New Roman" w:cs="Times New Roman"/>
                      <w:color w:val="auto"/>
                      <w:lang w:val="en-US" w:eastAsia="zh-CN"/>
                    </w:rPr>
                    <w:t>不涉及</w:t>
                  </w:r>
                </w:p>
              </w:tc>
              <w:tc>
                <w:tcPr>
                  <w:tcW w:w="465" w:type="pct"/>
                  <w:tcBorders>
                    <w:tl2br w:val="nil"/>
                    <w:tr2bl w:val="nil"/>
                  </w:tcBorders>
                  <w:noWrap w:val="0"/>
                  <w:vAlign w:val="center"/>
                </w:tcPr>
                <w:p w14:paraId="74D9956E">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符合</w:t>
                  </w:r>
                </w:p>
              </w:tc>
            </w:tr>
            <w:tr w14:paraId="7F0329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4" w:type="pct"/>
                  <w:vMerge w:val="restart"/>
                  <w:tcBorders>
                    <w:tl2br w:val="nil"/>
                    <w:tr2bl w:val="nil"/>
                  </w:tcBorders>
                  <w:noWrap w:val="0"/>
                  <w:vAlign w:val="center"/>
                </w:tcPr>
                <w:p w14:paraId="3CBA6F01">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资源开发效率要求</w:t>
                  </w:r>
                </w:p>
              </w:tc>
              <w:tc>
                <w:tcPr>
                  <w:tcW w:w="3038" w:type="pct"/>
                  <w:tcBorders>
                    <w:tl2br w:val="nil"/>
                    <w:tr2bl w:val="nil"/>
                  </w:tcBorders>
                  <w:noWrap w:val="0"/>
                  <w:vAlign w:val="center"/>
                </w:tcPr>
                <w:p w14:paraId="02D3E2E9">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both"/>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4.1 水资源：2025年，岳阳楼区用水总量6.04亿</w:t>
                  </w:r>
                  <w:r>
                    <w:rPr>
                      <w:rFonts w:hint="eastAsia" w:ascii="Times New Roman" w:cs="Times New Roman"/>
                      <w:color w:val="auto"/>
                      <w:lang w:val="en-US" w:eastAsia="zh-CN"/>
                    </w:rPr>
                    <w:t>m3</w:t>
                  </w:r>
                  <w:r>
                    <w:rPr>
                      <w:rFonts w:hint="default" w:ascii="Times New Roman" w:hAnsi="Times New Roman" w:eastAsia="宋体" w:cs="Times New Roman"/>
                      <w:color w:val="auto"/>
                    </w:rPr>
                    <w:t>，万元地区生产总值用水量比2020年下降13.36%，万元工业增加值用水量比2020年下降4.25%。</w:t>
                  </w:r>
                </w:p>
              </w:tc>
              <w:tc>
                <w:tcPr>
                  <w:tcW w:w="900" w:type="pct"/>
                  <w:tcBorders>
                    <w:tl2br w:val="nil"/>
                    <w:tr2bl w:val="nil"/>
                  </w:tcBorders>
                  <w:noWrap w:val="0"/>
                  <w:vAlign w:val="center"/>
                </w:tcPr>
                <w:p w14:paraId="696C241B">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lang w:eastAsia="zh-CN"/>
                    </w:rPr>
                  </w:pPr>
                  <w:r>
                    <w:rPr>
                      <w:rFonts w:hint="eastAsia" w:ascii="Times New Roman" w:cs="Times New Roman"/>
                      <w:color w:val="auto"/>
                      <w:lang w:eastAsia="zh-CN"/>
                    </w:rPr>
                    <w:t>供水管网可减少水损失</w:t>
                  </w:r>
                </w:p>
              </w:tc>
              <w:tc>
                <w:tcPr>
                  <w:tcW w:w="465" w:type="pct"/>
                  <w:tcBorders>
                    <w:tl2br w:val="nil"/>
                    <w:tr2bl w:val="nil"/>
                  </w:tcBorders>
                  <w:noWrap w:val="0"/>
                  <w:vAlign w:val="center"/>
                </w:tcPr>
                <w:p w14:paraId="33218333">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符合</w:t>
                  </w:r>
                </w:p>
              </w:tc>
            </w:tr>
            <w:tr w14:paraId="3D1C92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4" w:type="pct"/>
                  <w:vMerge w:val="continue"/>
                  <w:tcBorders>
                    <w:tl2br w:val="nil"/>
                    <w:tr2bl w:val="nil"/>
                  </w:tcBorders>
                  <w:noWrap w:val="0"/>
                  <w:vAlign w:val="center"/>
                </w:tcPr>
                <w:p w14:paraId="1DD05FF3">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p>
              </w:tc>
              <w:tc>
                <w:tcPr>
                  <w:tcW w:w="3038" w:type="pct"/>
                  <w:tcBorders>
                    <w:tl2br w:val="nil"/>
                    <w:tr2bl w:val="nil"/>
                  </w:tcBorders>
                  <w:noWrap w:val="0"/>
                  <w:vAlign w:val="center"/>
                </w:tcPr>
                <w:p w14:paraId="4932ACA1">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both"/>
                    <w:textAlignment w:val="auto"/>
                    <w:rPr>
                      <w:rFonts w:hint="default" w:ascii="Times New Roman" w:hAnsi="Times New Roman" w:eastAsia="宋体" w:cs="Times New Roman"/>
                      <w:color w:val="auto"/>
                      <w:lang w:val="en-US" w:eastAsia="zh-CN"/>
                    </w:rPr>
                  </w:pPr>
                  <w:r>
                    <w:rPr>
                      <w:rFonts w:hint="eastAsia" w:ascii="Times New Roman" w:cs="Times New Roman"/>
                      <w:color w:val="auto"/>
                      <w:lang w:val="en-US" w:eastAsia="zh-CN"/>
                    </w:rPr>
                    <w:t xml:space="preserve">4.2 </w:t>
                  </w:r>
                  <w:r>
                    <w:rPr>
                      <w:rFonts w:hint="default" w:ascii="Times New Roman" w:hAnsi="Times New Roman" w:eastAsia="宋体" w:cs="Times New Roman"/>
                      <w:color w:val="auto"/>
                    </w:rPr>
                    <w:t>能源：能耗按照各区</w:t>
                  </w:r>
                  <w:r>
                    <w:rPr>
                      <w:rFonts w:hint="eastAsia" w:ascii="Times New Roman" w:cs="Times New Roman"/>
                      <w:color w:val="auto"/>
                      <w:lang w:val="en-US" w:eastAsia="zh-CN"/>
                    </w:rPr>
                    <w:t>.....</w:t>
                  </w:r>
                </w:p>
              </w:tc>
              <w:tc>
                <w:tcPr>
                  <w:tcW w:w="900" w:type="pct"/>
                  <w:tcBorders>
                    <w:tl2br w:val="nil"/>
                    <w:tr2bl w:val="nil"/>
                  </w:tcBorders>
                  <w:noWrap w:val="0"/>
                  <w:vAlign w:val="center"/>
                </w:tcPr>
                <w:p w14:paraId="40358CD4">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lang w:eastAsia="zh-CN"/>
                    </w:rPr>
                  </w:pPr>
                  <w:r>
                    <w:rPr>
                      <w:rFonts w:hint="eastAsia" w:ascii="Times New Roman" w:cs="Times New Roman"/>
                      <w:color w:val="auto"/>
                      <w:lang w:val="en-US" w:eastAsia="zh-CN"/>
                    </w:rPr>
                    <w:t>不涉及</w:t>
                  </w:r>
                </w:p>
              </w:tc>
              <w:tc>
                <w:tcPr>
                  <w:tcW w:w="465" w:type="pct"/>
                  <w:tcBorders>
                    <w:tl2br w:val="nil"/>
                    <w:tr2bl w:val="nil"/>
                  </w:tcBorders>
                  <w:noWrap w:val="0"/>
                  <w:vAlign w:val="center"/>
                </w:tcPr>
                <w:p w14:paraId="0F5C1595">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符合</w:t>
                  </w:r>
                </w:p>
              </w:tc>
            </w:tr>
            <w:tr w14:paraId="1A0467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94" w:type="pct"/>
                  <w:vMerge w:val="continue"/>
                  <w:tcBorders>
                    <w:tl2br w:val="nil"/>
                    <w:tr2bl w:val="nil"/>
                  </w:tcBorders>
                  <w:noWrap w:val="0"/>
                  <w:vAlign w:val="center"/>
                </w:tcPr>
                <w:p w14:paraId="6722E05F">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p>
              </w:tc>
              <w:tc>
                <w:tcPr>
                  <w:tcW w:w="3038" w:type="pct"/>
                  <w:tcBorders>
                    <w:tl2br w:val="nil"/>
                    <w:tr2bl w:val="nil"/>
                  </w:tcBorders>
                  <w:noWrap w:val="0"/>
                  <w:vAlign w:val="center"/>
                </w:tcPr>
                <w:p w14:paraId="76BA57AA">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both"/>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4.3</w:t>
                  </w:r>
                  <w:r>
                    <w:rPr>
                      <w:rFonts w:hint="eastAsia" w:ascii="Times New Roman" w:cs="Times New Roman"/>
                      <w:color w:val="auto"/>
                      <w:lang w:val="en-US" w:eastAsia="zh-CN"/>
                    </w:rPr>
                    <w:t xml:space="preserve"> </w:t>
                  </w:r>
                  <w:r>
                    <w:rPr>
                      <w:rFonts w:hint="default" w:ascii="Times New Roman" w:hAnsi="Times New Roman" w:eastAsia="宋体" w:cs="Times New Roman"/>
                      <w:color w:val="auto"/>
                    </w:rPr>
                    <w:t>岳阳楼区耕地保有量52.55</w:t>
                  </w:r>
                  <w:r>
                    <w:rPr>
                      <w:rFonts w:hint="eastAsia" w:cs="Times New Roman"/>
                      <w:color w:val="auto"/>
                      <w:lang w:val="en-US" w:eastAsia="zh-CN"/>
                    </w:rPr>
                    <w:t>km</w:t>
                  </w:r>
                  <w:r>
                    <w:rPr>
                      <w:rFonts w:hint="eastAsia" w:cs="Times New Roman"/>
                      <w:color w:val="auto"/>
                      <w:vertAlign w:val="superscript"/>
                      <w:lang w:val="en-US" w:eastAsia="zh-CN"/>
                    </w:rPr>
                    <w:t>2</w:t>
                  </w:r>
                  <w:r>
                    <w:rPr>
                      <w:rFonts w:hint="eastAsia" w:cs="Times New Roman"/>
                      <w:color w:val="auto"/>
                      <w:lang w:val="en-US" w:eastAsia="zh-CN"/>
                    </w:rPr>
                    <w:t>，</w:t>
                  </w:r>
                  <w:r>
                    <w:rPr>
                      <w:rFonts w:hint="default" w:ascii="Times New Roman" w:hAnsi="Times New Roman" w:eastAsia="宋体" w:cs="Times New Roman"/>
                      <w:color w:val="auto"/>
                    </w:rPr>
                    <w:t>永久基本农</w:t>
                  </w:r>
                </w:p>
                <w:p w14:paraId="030B7EB9">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both"/>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田保护面积30.64</w:t>
                  </w:r>
                  <w:r>
                    <w:rPr>
                      <w:rFonts w:hint="eastAsia" w:cs="Times New Roman"/>
                      <w:color w:val="auto"/>
                      <w:lang w:val="en-US" w:eastAsia="zh-CN"/>
                    </w:rPr>
                    <w:t>km</w:t>
                  </w:r>
                  <w:r>
                    <w:rPr>
                      <w:rFonts w:hint="eastAsia" w:cs="Times New Roman"/>
                      <w:color w:val="auto"/>
                      <w:vertAlign w:val="superscript"/>
                      <w:lang w:val="en-US" w:eastAsia="zh-CN"/>
                    </w:rPr>
                    <w:t>2</w:t>
                  </w:r>
                  <w:r>
                    <w:rPr>
                      <w:rFonts w:hint="eastAsia" w:cs="Times New Roman"/>
                      <w:color w:val="auto"/>
                      <w:lang w:val="en-US" w:eastAsia="zh-CN"/>
                    </w:rPr>
                    <w:t>，</w:t>
                  </w:r>
                  <w:r>
                    <w:rPr>
                      <w:rFonts w:hint="default" w:ascii="Times New Roman" w:hAnsi="Times New Roman" w:eastAsia="宋体" w:cs="Times New Roman"/>
                      <w:color w:val="auto"/>
                    </w:rPr>
                    <w:t>生态保护红线面积7.05</w:t>
                  </w:r>
                  <w:r>
                    <w:rPr>
                      <w:rFonts w:hint="eastAsia" w:cs="Times New Roman"/>
                      <w:color w:val="auto"/>
                      <w:lang w:val="en-US" w:eastAsia="zh-CN"/>
                    </w:rPr>
                    <w:t>km</w:t>
                  </w:r>
                  <w:r>
                    <w:rPr>
                      <w:rFonts w:hint="eastAsia" w:cs="Times New Roman"/>
                      <w:color w:val="auto"/>
                      <w:vertAlign w:val="superscript"/>
                      <w:lang w:val="en-US" w:eastAsia="zh-CN"/>
                    </w:rPr>
                    <w:t>2</w:t>
                  </w:r>
                  <w:r>
                    <w:rPr>
                      <w:rFonts w:hint="eastAsia" w:cs="Times New Roman"/>
                      <w:color w:val="auto"/>
                      <w:lang w:val="en-US" w:eastAsia="zh-CN"/>
                    </w:rPr>
                    <w:t>，</w:t>
                  </w:r>
                  <w:r>
                    <w:rPr>
                      <w:rFonts w:hint="default" w:ascii="Times New Roman" w:hAnsi="Times New Roman" w:eastAsia="宋体" w:cs="Times New Roman"/>
                      <w:color w:val="auto"/>
                    </w:rPr>
                    <w:t>城镇开发边界146.96</w:t>
                  </w:r>
                  <w:r>
                    <w:rPr>
                      <w:rFonts w:hint="eastAsia" w:cs="Times New Roman"/>
                      <w:color w:val="auto"/>
                      <w:lang w:val="en-US" w:eastAsia="zh-CN"/>
                    </w:rPr>
                    <w:t>km</w:t>
                  </w:r>
                  <w:r>
                    <w:rPr>
                      <w:rFonts w:hint="eastAsia" w:cs="Times New Roman"/>
                      <w:color w:val="auto"/>
                      <w:vertAlign w:val="superscript"/>
                      <w:lang w:val="en-US" w:eastAsia="zh-CN"/>
                    </w:rPr>
                    <w:t>2</w:t>
                  </w:r>
                  <w:r>
                    <w:rPr>
                      <w:rFonts w:hint="default" w:ascii="Times New Roman" w:hAnsi="Times New Roman" w:eastAsia="宋体" w:cs="Times New Roman"/>
                      <w:color w:val="auto"/>
                    </w:rPr>
                    <w:t>。</w:t>
                  </w:r>
                </w:p>
              </w:tc>
              <w:tc>
                <w:tcPr>
                  <w:tcW w:w="900" w:type="pct"/>
                  <w:tcBorders>
                    <w:tl2br w:val="nil"/>
                    <w:tr2bl w:val="nil"/>
                  </w:tcBorders>
                  <w:noWrap w:val="0"/>
                  <w:vAlign w:val="center"/>
                </w:tcPr>
                <w:p w14:paraId="6060EE55">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lang w:eastAsia="zh-CN"/>
                    </w:rPr>
                  </w:pPr>
                  <w:r>
                    <w:rPr>
                      <w:rFonts w:hint="eastAsia" w:ascii="Times New Roman" w:cs="Times New Roman"/>
                      <w:color w:val="auto"/>
                      <w:lang w:eastAsia="zh-CN"/>
                    </w:rPr>
                    <w:t>项目不新增占地</w:t>
                  </w:r>
                </w:p>
              </w:tc>
              <w:tc>
                <w:tcPr>
                  <w:tcW w:w="465" w:type="pct"/>
                  <w:tcBorders>
                    <w:tl2br w:val="nil"/>
                    <w:tr2bl w:val="nil"/>
                  </w:tcBorders>
                  <w:noWrap w:val="0"/>
                  <w:vAlign w:val="center"/>
                </w:tcPr>
                <w:p w14:paraId="58A5FDEE">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符合</w:t>
                  </w:r>
                </w:p>
              </w:tc>
            </w:tr>
          </w:tbl>
          <w:p w14:paraId="669AD93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宋体" w:hAnsi="宋体" w:eastAsia="宋体" w:cs="宋体"/>
                <w:b w:val="0"/>
                <w:bCs w:val="0"/>
                <w:color w:val="FF0000"/>
                <w:sz w:val="24"/>
                <w:szCs w:val="24"/>
                <w:lang w:eastAsia="zh-CN"/>
              </w:rPr>
            </w:pPr>
            <w:r>
              <w:rPr>
                <w:rFonts w:hint="eastAsia" w:ascii="宋体" w:hAnsi="宋体" w:cs="宋体"/>
                <w:b w:val="0"/>
                <w:bCs w:val="0"/>
                <w:color w:val="auto"/>
                <w:sz w:val="24"/>
                <w:szCs w:val="24"/>
                <w:lang w:eastAsia="zh-CN"/>
              </w:rPr>
              <w:t>综上，本项目属于防洪除涝工程，工程内容主要城市管网更新改造，项目在原有占地范围内实施，不新增占地（附件</w:t>
            </w:r>
            <w:r>
              <w:rPr>
                <w:rFonts w:hint="eastAsia" w:ascii="宋体" w:hAnsi="宋体" w:cs="宋体"/>
                <w:b w:val="0"/>
                <w:bCs w:val="0"/>
                <w:color w:val="auto"/>
                <w:sz w:val="24"/>
                <w:szCs w:val="24"/>
                <w:lang w:val="en-US" w:eastAsia="zh-CN"/>
              </w:rPr>
              <w:t>4</w:t>
            </w:r>
            <w:r>
              <w:rPr>
                <w:rFonts w:hint="eastAsia" w:ascii="宋体" w:hAnsi="宋体" w:cs="宋体"/>
                <w:b w:val="0"/>
                <w:bCs w:val="0"/>
                <w:color w:val="auto"/>
                <w:sz w:val="24"/>
                <w:szCs w:val="24"/>
                <w:lang w:eastAsia="zh-CN"/>
              </w:rPr>
              <w:t>）。项目距离最近生态保护红线（麻布山森林公园）边界约</w:t>
            </w:r>
            <w:r>
              <w:rPr>
                <w:rFonts w:hint="eastAsia" w:ascii="宋体" w:hAnsi="宋体" w:cs="宋体"/>
                <w:b w:val="0"/>
                <w:bCs w:val="0"/>
                <w:color w:val="auto"/>
                <w:sz w:val="24"/>
                <w:szCs w:val="24"/>
                <w:lang w:val="en-US" w:eastAsia="zh-CN"/>
              </w:rPr>
              <w:t>20m，</w:t>
            </w:r>
            <w:r>
              <w:rPr>
                <w:rFonts w:hint="eastAsia" w:ascii="宋体" w:hAnsi="宋体" w:cs="宋体"/>
                <w:color w:val="auto"/>
                <w:sz w:val="24"/>
                <w:lang w:val="en-US" w:eastAsia="zh-CN"/>
              </w:rPr>
              <w:t>项目不占生态红线、</w:t>
            </w:r>
            <w:r>
              <w:rPr>
                <w:rFonts w:hint="eastAsia" w:ascii="宋体" w:hAnsi="宋体" w:cs="宋体"/>
                <w:b w:val="0"/>
                <w:bCs w:val="0"/>
                <w:color w:val="auto"/>
                <w:sz w:val="24"/>
                <w:szCs w:val="24"/>
                <w:lang w:eastAsia="zh-CN"/>
              </w:rPr>
              <w:t>不占用永久基本农田，不突破环境质量底线、资源利用上线，符合岳阳市“三线一单”生态环境分区管控要求。</w:t>
            </w:r>
          </w:p>
          <w:p w14:paraId="7290DF83">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宋体" w:hAnsi="宋体" w:eastAsia="宋体" w:cs="宋体"/>
                <w:b/>
                <w:bCs/>
                <w:color w:val="auto"/>
                <w:sz w:val="24"/>
                <w:szCs w:val="24"/>
                <w:lang w:val="en-US" w:eastAsia="zh-CN"/>
              </w:rPr>
            </w:pPr>
            <w:r>
              <w:rPr>
                <w:rFonts w:hint="eastAsia" w:ascii="宋体" w:hAnsi="宋体" w:cs="宋体"/>
                <w:b/>
                <w:bCs/>
                <w:color w:val="auto"/>
                <w:sz w:val="24"/>
                <w:szCs w:val="24"/>
                <w:lang w:val="en-US" w:eastAsia="zh-CN"/>
              </w:rPr>
              <w:t>4、与最近水源保护区位置关系</w:t>
            </w:r>
          </w:p>
          <w:p w14:paraId="68F2252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eastAsia="zh-CN"/>
              </w:rPr>
            </w:pPr>
            <w:r>
              <w:rPr>
                <w:rFonts w:hint="eastAsia" w:ascii="宋体" w:hAnsi="宋体" w:eastAsia="宋体" w:cs="宋体"/>
                <w:b w:val="0"/>
                <w:bCs w:val="0"/>
                <w:color w:val="auto"/>
                <w:sz w:val="24"/>
                <w:szCs w:val="24"/>
                <w:lang w:eastAsia="zh-CN"/>
              </w:rPr>
              <w:t>根据</w:t>
            </w:r>
            <w:r>
              <w:rPr>
                <w:rFonts w:hint="eastAsia" w:ascii="宋体" w:hAnsi="宋体" w:cs="宋体"/>
                <w:b w:val="0"/>
                <w:bCs w:val="0"/>
                <w:color w:val="auto"/>
                <w:sz w:val="24"/>
                <w:szCs w:val="24"/>
                <w:lang w:eastAsia="zh-CN"/>
              </w:rPr>
              <w:t>现场调查、查询《岳阳楼区农村千人以上集中式饮用水水源地名录（2024年修订）》以及向主管部门核实，岳阳楼区的水源地有</w:t>
            </w:r>
            <w:r>
              <w:rPr>
                <w:rFonts w:hint="eastAsia" w:ascii="宋体" w:hAnsi="宋体" w:cs="宋体"/>
                <w:b w:val="0"/>
                <w:bCs w:val="0"/>
                <w:color w:val="auto"/>
                <w:sz w:val="24"/>
                <w:szCs w:val="24"/>
                <w:lang w:val="en-US" w:eastAsia="zh-CN"/>
              </w:rPr>
              <w:t>3个，分别是：兰桥水库、伍家洞水库和铁山水库，最近饮用水水源保护区距离本项目场界均大于1000m，本项目不在饮用水水源保护区范围内，不在其汇水区域内，对水源保护区无直接影响。</w:t>
            </w:r>
            <w:r>
              <w:rPr>
                <w:rFonts w:hint="eastAsia" w:ascii="宋体" w:hAnsi="宋体" w:cs="宋体"/>
                <w:b w:val="0"/>
                <w:bCs w:val="0"/>
                <w:color w:val="auto"/>
                <w:sz w:val="24"/>
                <w:szCs w:val="24"/>
                <w:lang w:eastAsia="zh-CN"/>
              </w:rPr>
              <w:t>岳阳楼区域居民使用的饮用水均来自以上</w:t>
            </w:r>
            <w:r>
              <w:rPr>
                <w:rFonts w:hint="eastAsia" w:ascii="宋体" w:hAnsi="宋体" w:cs="宋体"/>
                <w:b w:val="0"/>
                <w:bCs w:val="0"/>
                <w:color w:val="auto"/>
                <w:sz w:val="24"/>
                <w:szCs w:val="24"/>
                <w:lang w:val="en-US" w:eastAsia="zh-CN"/>
              </w:rPr>
              <w:t>3个水源地。原郭镇乡的水源地已于2025年由岳阳市人民政府以“岳政办函</w:t>
            </w:r>
            <w:r>
              <w:rPr>
                <w:rFonts w:hint="eastAsia" w:ascii="宋体" w:hAnsi="宋体" w:eastAsia="宋体" w:cs="宋体"/>
                <w:b w:val="0"/>
                <w:bCs w:val="0"/>
                <w:color w:val="auto"/>
                <w:sz w:val="24"/>
                <w:szCs w:val="24"/>
                <w:lang w:val="en-US" w:eastAsia="zh-CN"/>
              </w:rPr>
              <w:t>〔2025</w:t>
            </w:r>
            <w:r>
              <w:rPr>
                <w:rFonts w:hint="eastAsia" w:ascii="仿宋" w:hAnsi="仿宋" w:eastAsia="仿宋" w:cs="仿宋"/>
                <w:b w:val="0"/>
                <w:bCs w:val="0"/>
                <w:color w:val="auto"/>
                <w:sz w:val="24"/>
                <w:szCs w:val="24"/>
                <w:lang w:val="en-US" w:eastAsia="zh-CN"/>
              </w:rPr>
              <w:t>〕40号</w:t>
            </w:r>
            <w:r>
              <w:rPr>
                <w:rFonts w:hint="eastAsia" w:ascii="宋体" w:hAnsi="宋体" w:cs="宋体"/>
                <w:b w:val="0"/>
                <w:bCs w:val="0"/>
                <w:color w:val="auto"/>
                <w:sz w:val="24"/>
                <w:szCs w:val="24"/>
                <w:lang w:val="en-US" w:eastAsia="zh-CN"/>
              </w:rPr>
              <w:t>”批复撤销（见附件3）</w:t>
            </w:r>
            <w:r>
              <w:rPr>
                <w:rFonts w:hint="eastAsia" w:ascii="宋体" w:hAnsi="宋体" w:cs="宋体"/>
                <w:b w:val="0"/>
                <w:bCs w:val="0"/>
                <w:color w:val="auto"/>
                <w:sz w:val="24"/>
                <w:szCs w:val="24"/>
                <w:lang w:eastAsia="zh-CN"/>
              </w:rPr>
              <w:t>。</w:t>
            </w:r>
          </w:p>
          <w:p w14:paraId="2A9A914C">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宋体" w:hAnsi="宋体" w:cs="宋体"/>
                <w:b w:val="0"/>
                <w:bCs w:val="0"/>
                <w:color w:val="auto"/>
                <w:sz w:val="24"/>
                <w:szCs w:val="24"/>
                <w:lang w:val="en-US" w:eastAsia="zh-CN"/>
              </w:rPr>
            </w:pPr>
            <w:r>
              <w:rPr>
                <w:rFonts w:hint="eastAsia" w:ascii="宋体" w:hAnsi="宋体" w:cs="宋体"/>
                <w:b/>
                <w:bCs/>
                <w:color w:val="auto"/>
                <w:sz w:val="24"/>
                <w:szCs w:val="24"/>
                <w:lang w:val="en-US" w:eastAsia="zh-CN"/>
              </w:rPr>
              <w:t>5、与最近生态红线位置关系</w:t>
            </w:r>
          </w:p>
          <w:p w14:paraId="11AE620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宋体" w:hAnsi="宋体" w:cs="宋体"/>
                <w:b w:val="0"/>
                <w:bCs w:val="0"/>
                <w:color w:val="auto"/>
                <w:sz w:val="24"/>
                <w:szCs w:val="24"/>
                <w:lang w:val="en-US" w:eastAsia="zh-CN"/>
              </w:rPr>
            </w:pPr>
            <w:r>
              <w:rPr>
                <w:rFonts w:hint="eastAsia" w:ascii="宋体" w:hAnsi="宋体" w:cs="宋体"/>
                <w:b w:val="0"/>
                <w:bCs w:val="0"/>
                <w:color w:val="auto"/>
                <w:sz w:val="24"/>
                <w:szCs w:val="24"/>
                <w:lang w:eastAsia="zh-CN"/>
              </w:rPr>
              <w:t>麻布山省级森林公园（生态红线、自然保护地）位于岳阳楼区郭镇乡最南部，是岳阳楼区唯一省级自然保护地，也是全区最南侧的核心生态屏障。红线面积</w:t>
            </w:r>
            <w:r>
              <w:rPr>
                <w:rFonts w:hint="eastAsia" w:ascii="宋体" w:hAnsi="宋体" w:cs="宋体"/>
                <w:b w:val="0"/>
                <w:bCs w:val="0"/>
                <w:color w:val="auto"/>
                <w:sz w:val="24"/>
                <w:szCs w:val="24"/>
                <w:lang w:val="en-US" w:eastAsia="zh-CN"/>
              </w:rPr>
              <w:t>5.48km</w:t>
            </w:r>
            <w:r>
              <w:rPr>
                <w:rFonts w:hint="eastAsia" w:ascii="宋体" w:hAnsi="宋体" w:cs="宋体"/>
                <w:b w:val="0"/>
                <w:bCs w:val="0"/>
                <w:color w:val="auto"/>
                <w:sz w:val="24"/>
                <w:szCs w:val="24"/>
                <w:vertAlign w:val="superscript"/>
                <w:lang w:val="en-US" w:eastAsia="zh-CN"/>
              </w:rPr>
              <w:t>2</w:t>
            </w:r>
            <w:r>
              <w:rPr>
                <w:rFonts w:hint="eastAsia" w:ascii="宋体" w:hAnsi="宋体" w:cs="宋体"/>
                <w:b w:val="0"/>
                <w:bCs w:val="0"/>
                <w:color w:val="auto"/>
                <w:sz w:val="24"/>
                <w:szCs w:val="24"/>
                <w:lang w:val="en-US" w:eastAsia="zh-CN"/>
              </w:rPr>
              <w:t>，森林覆盖率≥70%，生态功能定位为城市生态屏障、生物多样性保护、水源涵养、水土保持、休闲游憩。本项目位于该森林公园北侧外，最近距离约20m（见附图3），铺设管线采用顶管和开挖的方式，顶管不影响地表，开挖宽度只有</w:t>
            </w:r>
            <w:r>
              <w:rPr>
                <w:rFonts w:hint="eastAsia" w:ascii="宋体" w:hAnsi="宋体" w:cs="宋体"/>
                <w:color w:val="auto"/>
                <w:sz w:val="24"/>
                <w:lang w:val="en-US" w:eastAsia="zh-CN"/>
              </w:rPr>
              <w:t>1～2m，管线施工不会影响到</w:t>
            </w:r>
            <w:r>
              <w:rPr>
                <w:rFonts w:hint="eastAsia" w:ascii="宋体" w:hAnsi="宋体" w:cs="宋体"/>
                <w:b w:val="0"/>
                <w:bCs w:val="0"/>
                <w:color w:val="auto"/>
                <w:sz w:val="24"/>
                <w:szCs w:val="24"/>
                <w:lang w:val="en-US" w:eastAsia="zh-CN"/>
              </w:rPr>
              <w:t>生态保护红线，因此本项目不占用生态红线。</w:t>
            </w:r>
          </w:p>
          <w:p w14:paraId="54C4BA4A">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宋体" w:hAnsi="宋体" w:eastAsia="宋体" w:cs="宋体"/>
                <w:b/>
                <w:bCs/>
                <w:color w:val="auto"/>
                <w:sz w:val="24"/>
                <w:szCs w:val="24"/>
                <w:lang w:val="en-US" w:eastAsia="zh-CN"/>
              </w:rPr>
            </w:pPr>
            <w:r>
              <w:rPr>
                <w:rFonts w:hint="eastAsia"/>
                <w:b/>
                <w:bCs/>
                <w:color w:val="auto"/>
                <w:sz w:val="24"/>
                <w:szCs w:val="24"/>
                <w:lang w:val="en-US" w:eastAsia="zh-CN"/>
              </w:rPr>
              <w:t>6、与《水利建设项目（河湖整治与防洪除涝工程）环境影响评价文件审批原则（试行）》（环办环评[2018]2号）</w:t>
            </w:r>
            <w:r>
              <w:rPr>
                <w:rFonts w:hint="eastAsia" w:ascii="宋体" w:hAnsi="宋体" w:cs="宋体"/>
                <w:b/>
                <w:bCs/>
                <w:color w:val="auto"/>
                <w:sz w:val="24"/>
                <w:szCs w:val="24"/>
                <w:lang w:val="en-US" w:eastAsia="zh-CN"/>
              </w:rPr>
              <w:t>符合性分析</w:t>
            </w:r>
          </w:p>
          <w:p w14:paraId="32C4D473">
            <w:pPr>
              <w:pStyle w:val="22"/>
              <w:rPr>
                <w:rFonts w:hint="default" w:ascii="Times New Roman" w:hAnsi="Times New Roman" w:eastAsia="宋体" w:cs="Times New Roman"/>
                <w:color w:val="auto"/>
                <w:sz w:val="24"/>
                <w:szCs w:val="32"/>
              </w:rPr>
            </w:pPr>
            <w:r>
              <w:rPr>
                <w:rFonts w:hint="default" w:ascii="Times New Roman" w:hAnsi="Times New Roman" w:eastAsia="宋体" w:cs="Times New Roman"/>
                <w:color w:val="auto"/>
                <w:sz w:val="24"/>
                <w:szCs w:val="32"/>
              </w:rPr>
              <w:t>表1</w:t>
            </w:r>
            <w:r>
              <w:rPr>
                <w:rFonts w:hint="eastAsia" w:cs="Times New Roman"/>
                <w:color w:val="auto"/>
                <w:sz w:val="24"/>
                <w:szCs w:val="32"/>
                <w:lang w:val="en-US" w:eastAsia="zh-CN"/>
              </w:rPr>
              <w:t>.7</w:t>
            </w:r>
            <w:r>
              <w:rPr>
                <w:rFonts w:hint="default" w:ascii="Times New Roman" w:hAnsi="Times New Roman" w:eastAsia="宋体" w:cs="Times New Roman"/>
                <w:color w:val="auto"/>
                <w:sz w:val="24"/>
                <w:szCs w:val="32"/>
              </w:rPr>
              <w:t xml:space="preserve">  与</w:t>
            </w:r>
            <w:r>
              <w:rPr>
                <w:rFonts w:hint="eastAsia" w:cs="Times New Roman"/>
                <w:color w:val="auto"/>
                <w:sz w:val="24"/>
                <w:szCs w:val="32"/>
                <w:lang w:val="en-US" w:eastAsia="zh-CN"/>
              </w:rPr>
              <w:t>“环办环评[2018]17号”符合性</w:t>
            </w:r>
            <w:r>
              <w:rPr>
                <w:rFonts w:hint="default" w:ascii="Times New Roman" w:hAnsi="Times New Roman" w:eastAsia="宋体" w:cs="Times New Roman"/>
                <w:color w:val="auto"/>
                <w:sz w:val="24"/>
                <w:szCs w:val="32"/>
              </w:rPr>
              <w:t>分析</w:t>
            </w:r>
          </w:p>
          <w:tbl>
            <w:tblPr>
              <w:tblStyle w:val="9"/>
              <w:tblW w:w="4995" w:type="pct"/>
              <w:tblInd w:w="-15"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80"/>
              <w:gridCol w:w="3995"/>
              <w:gridCol w:w="3327"/>
            </w:tblGrid>
            <w:tr w14:paraId="0C4710A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1" w:type="pct"/>
                  <w:tcBorders>
                    <w:tl2br w:val="nil"/>
                    <w:tr2bl w:val="nil"/>
                  </w:tcBorders>
                  <w:noWrap w:val="0"/>
                  <w:vAlign w:val="center"/>
                </w:tcPr>
                <w:p w14:paraId="10E5D401">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b/>
                      <w:bCs/>
                      <w:color w:val="auto"/>
                      <w:lang w:val="en-US" w:eastAsia="zh-CN"/>
                    </w:rPr>
                  </w:pPr>
                  <w:r>
                    <w:rPr>
                      <w:rFonts w:hint="eastAsia" w:ascii="Times New Roman" w:cs="Times New Roman"/>
                      <w:b/>
                      <w:bCs/>
                      <w:color w:val="auto"/>
                      <w:lang w:val="en-US" w:eastAsia="zh-CN"/>
                    </w:rPr>
                    <w:t>序号</w:t>
                  </w:r>
                </w:p>
              </w:tc>
              <w:tc>
                <w:tcPr>
                  <w:tcW w:w="2465" w:type="pct"/>
                  <w:tcBorders>
                    <w:tl2br w:val="nil"/>
                    <w:tr2bl w:val="nil"/>
                  </w:tcBorders>
                  <w:noWrap w:val="0"/>
                  <w:vAlign w:val="center"/>
                </w:tcPr>
                <w:p w14:paraId="075D7908">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auto"/>
                      <w:lang w:val="en-US" w:eastAsia="zh-CN"/>
                    </w:rPr>
                  </w:pPr>
                  <w:r>
                    <w:rPr>
                      <w:rFonts w:hint="eastAsia" w:ascii="Times New Roman" w:cs="Times New Roman"/>
                      <w:b/>
                      <w:bCs/>
                      <w:color w:val="auto"/>
                      <w:lang w:val="en-US" w:eastAsia="zh-CN"/>
                    </w:rPr>
                    <w:t>文件要求</w:t>
                  </w:r>
                </w:p>
              </w:tc>
              <w:tc>
                <w:tcPr>
                  <w:tcW w:w="2053" w:type="pct"/>
                  <w:tcBorders>
                    <w:tl2br w:val="nil"/>
                    <w:tr2bl w:val="nil"/>
                  </w:tcBorders>
                  <w:noWrap w:val="0"/>
                  <w:vAlign w:val="center"/>
                </w:tcPr>
                <w:p w14:paraId="69B35A47">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b/>
                      <w:bCs/>
                      <w:color w:val="auto"/>
                      <w:lang w:eastAsia="zh-CN"/>
                    </w:rPr>
                  </w:pPr>
                  <w:r>
                    <w:rPr>
                      <w:rFonts w:hint="eastAsia" w:ascii="Times New Roman" w:cs="Times New Roman"/>
                      <w:b/>
                      <w:bCs/>
                      <w:color w:val="auto"/>
                      <w:lang w:eastAsia="zh-CN"/>
                    </w:rPr>
                    <w:t>本项目情况</w:t>
                  </w:r>
                </w:p>
              </w:tc>
            </w:tr>
            <w:tr w14:paraId="7592A5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1" w:type="pct"/>
                  <w:tcBorders>
                    <w:tl2br w:val="nil"/>
                    <w:tr2bl w:val="nil"/>
                  </w:tcBorders>
                  <w:noWrap w:val="0"/>
                  <w:vAlign w:val="center"/>
                </w:tcPr>
                <w:p w14:paraId="1CDBCEA0">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cs="Times New Roman"/>
                      <w:b w:val="0"/>
                      <w:bCs w:val="0"/>
                      <w:color w:val="auto"/>
                      <w:lang w:val="en-US" w:eastAsia="zh-CN"/>
                    </w:rPr>
                  </w:pPr>
                  <w:r>
                    <w:rPr>
                      <w:rFonts w:hint="eastAsia" w:ascii="Times New Roman" w:cs="Times New Roman"/>
                      <w:b w:val="0"/>
                      <w:bCs w:val="0"/>
                      <w:color w:val="auto"/>
                      <w:lang w:val="en-US" w:eastAsia="zh-CN"/>
                    </w:rPr>
                    <w:t>1</w:t>
                  </w:r>
                </w:p>
              </w:tc>
              <w:tc>
                <w:tcPr>
                  <w:tcW w:w="2465" w:type="pct"/>
                  <w:tcBorders>
                    <w:tl2br w:val="nil"/>
                    <w:tr2bl w:val="nil"/>
                  </w:tcBorders>
                  <w:noWrap w:val="0"/>
                  <w:vAlign w:val="center"/>
                </w:tcPr>
                <w:p w14:paraId="5D7D84DF">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cs="Times New Roman"/>
                      <w:b w:val="0"/>
                      <w:bCs w:val="0"/>
                      <w:color w:val="auto"/>
                      <w:lang w:val="en-US" w:eastAsia="zh-CN"/>
                    </w:rPr>
                  </w:pPr>
                  <w:r>
                    <w:rPr>
                      <w:rFonts w:hint="eastAsia" w:ascii="Times New Roman" w:cs="Times New Roman"/>
                      <w:b w:val="0"/>
                      <w:bCs w:val="0"/>
                      <w:color w:val="auto"/>
                      <w:lang w:val="en-US" w:eastAsia="zh-CN"/>
                    </w:rPr>
                    <w:t>本原则适用于河湖整治与防洪除涝工程环境影响评价文件的审批，工程建设内容包括疏浚、堤防建设、闸坝闸站建设、岸线治理、水系连通、蓄（滞）洪区建设、排涝治理等（引调水、防洪水库等水利枢纽工程除外）。其他类似工程可参照执行。</w:t>
                  </w:r>
                </w:p>
              </w:tc>
              <w:tc>
                <w:tcPr>
                  <w:tcW w:w="2053" w:type="pct"/>
                  <w:tcBorders>
                    <w:tl2br w:val="nil"/>
                    <w:tr2bl w:val="nil"/>
                  </w:tcBorders>
                  <w:noWrap w:val="0"/>
                  <w:vAlign w:val="center"/>
                </w:tcPr>
                <w:p w14:paraId="04BA35C5">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cs="Times New Roman"/>
                      <w:b w:val="0"/>
                      <w:bCs w:val="0"/>
                      <w:color w:val="auto"/>
                      <w:lang w:val="en-US" w:eastAsia="zh-CN"/>
                    </w:rPr>
                  </w:pPr>
                  <w:r>
                    <w:rPr>
                      <w:rFonts w:hint="eastAsia" w:ascii="Times New Roman" w:cs="Times New Roman"/>
                      <w:b w:val="0"/>
                      <w:bCs w:val="0"/>
                      <w:color w:val="auto"/>
                      <w:lang w:val="en-US" w:eastAsia="zh-CN"/>
                    </w:rPr>
                    <w:t>本项目为城市排水防洪排涝建设项目，主要建设内容包括改造积涝点10处，新建DN2600雨水管道、排水管沟，并进行排水管沟清淤，属于防洪除涝工程与河湖整治范畴，适用本审批原则。</w:t>
                  </w:r>
                </w:p>
              </w:tc>
            </w:tr>
            <w:tr w14:paraId="789055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1" w:type="pct"/>
                  <w:tcBorders>
                    <w:tl2br w:val="nil"/>
                    <w:tr2bl w:val="nil"/>
                  </w:tcBorders>
                  <w:shd w:val="clear" w:color="auto" w:fill="auto"/>
                  <w:noWrap w:val="0"/>
                  <w:vAlign w:val="center"/>
                </w:tcPr>
                <w:p w14:paraId="78EB56B1">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b w:val="0"/>
                      <w:bCs w:val="0"/>
                      <w:color w:val="auto"/>
                      <w:kern w:val="0"/>
                      <w:sz w:val="21"/>
                      <w:szCs w:val="20"/>
                      <w:lang w:val="en-US" w:eastAsia="zh-CN" w:bidi="ar-SA"/>
                    </w:rPr>
                  </w:pPr>
                  <w:r>
                    <w:rPr>
                      <w:rFonts w:hint="eastAsia" w:ascii="Times New Roman" w:cs="Times New Roman"/>
                      <w:b w:val="0"/>
                      <w:bCs w:val="0"/>
                      <w:color w:val="auto"/>
                      <w:lang w:val="en-US" w:eastAsia="zh-CN"/>
                    </w:rPr>
                    <w:t>2</w:t>
                  </w:r>
                </w:p>
              </w:tc>
              <w:tc>
                <w:tcPr>
                  <w:tcW w:w="2465" w:type="pct"/>
                  <w:tcBorders>
                    <w:tl2br w:val="nil"/>
                    <w:tr2bl w:val="nil"/>
                  </w:tcBorders>
                  <w:noWrap w:val="0"/>
                  <w:vAlign w:val="center"/>
                </w:tcPr>
                <w:p w14:paraId="7151B8A2">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cs="Times New Roman"/>
                      <w:b w:val="0"/>
                      <w:bCs w:val="0"/>
                      <w:color w:val="auto"/>
                      <w:lang w:val="en-US" w:eastAsia="zh-CN"/>
                    </w:rPr>
                  </w:pPr>
                  <w:r>
                    <w:rPr>
                      <w:rFonts w:hint="eastAsia" w:ascii="Times New Roman" w:cs="Times New Roman"/>
                      <w:b w:val="0"/>
                      <w:bCs w:val="0"/>
                      <w:color w:val="auto"/>
                      <w:lang w:val="en-US" w:eastAsia="zh-CN"/>
                    </w:rPr>
                    <w:t>项目符合环境保护相关法律法规和政策要求，与主体功能区规划、生态功能区划、水环境功能区划、水功能区划、生态环境保护规划、流域综合规划、防洪规划等相协调，满足相关规划环评要求。工程涉及岸线调整....等建设内容的，充分论证了方案环境可行性...。</w:t>
                  </w:r>
                </w:p>
              </w:tc>
              <w:tc>
                <w:tcPr>
                  <w:tcW w:w="2053" w:type="pct"/>
                  <w:tcBorders>
                    <w:tl2br w:val="nil"/>
                    <w:tr2bl w:val="nil"/>
                  </w:tcBorders>
                  <w:noWrap w:val="0"/>
                  <w:vAlign w:val="center"/>
                </w:tcPr>
                <w:p w14:paraId="5C374DB5">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cs="Times New Roman"/>
                      <w:b w:val="0"/>
                      <w:bCs w:val="0"/>
                      <w:color w:val="auto"/>
                      <w:lang w:val="en-US" w:eastAsia="zh-CN"/>
                    </w:rPr>
                  </w:pPr>
                  <w:r>
                    <w:rPr>
                      <w:rFonts w:hint="eastAsia" w:ascii="Times New Roman" w:cs="Times New Roman"/>
                      <w:b w:val="0"/>
                      <w:bCs w:val="0"/>
                      <w:color w:val="auto"/>
                      <w:lang w:val="en-US" w:eastAsia="zh-CN"/>
                    </w:rPr>
                    <w:t>项目符合《产业结构调整指导目录》等产业政策，与《岳阳市主城区排水（雨水）防涝综合规划》、《岳阳市海绵城市专项规划》及《岳阳市国土空间总体规划》相协调。工程未涉及岸线调整...等。</w:t>
                  </w:r>
                </w:p>
              </w:tc>
            </w:tr>
            <w:tr w14:paraId="1EAD61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1" w:type="pct"/>
                  <w:tcBorders>
                    <w:tl2br w:val="nil"/>
                    <w:tr2bl w:val="nil"/>
                  </w:tcBorders>
                  <w:shd w:val="clear" w:color="auto" w:fill="auto"/>
                  <w:noWrap w:val="0"/>
                  <w:vAlign w:val="center"/>
                </w:tcPr>
                <w:p w14:paraId="48872DA4">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0"/>
                      <w:lang w:val="en-US" w:eastAsia="zh-CN" w:bidi="ar-SA"/>
                    </w:rPr>
                  </w:pPr>
                  <w:r>
                    <w:rPr>
                      <w:rFonts w:hint="eastAsia" w:ascii="Times New Roman" w:cs="Times New Roman"/>
                      <w:b w:val="0"/>
                      <w:bCs w:val="0"/>
                      <w:color w:val="auto"/>
                      <w:lang w:val="en-US" w:eastAsia="zh-CN"/>
                    </w:rPr>
                    <w:t>3</w:t>
                  </w:r>
                </w:p>
              </w:tc>
              <w:tc>
                <w:tcPr>
                  <w:tcW w:w="2465" w:type="pct"/>
                  <w:tcBorders>
                    <w:tl2br w:val="nil"/>
                    <w:tr2bl w:val="nil"/>
                  </w:tcBorders>
                  <w:noWrap w:val="0"/>
                  <w:vAlign w:val="center"/>
                </w:tcPr>
                <w:p w14:paraId="236E0FAE">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cs="Times New Roman"/>
                      <w:b w:val="0"/>
                      <w:bCs w:val="0"/>
                      <w:color w:val="auto"/>
                      <w:lang w:val="en-US" w:eastAsia="zh-CN"/>
                    </w:rPr>
                  </w:pPr>
                  <w:r>
                    <w:rPr>
                      <w:rFonts w:hint="eastAsia" w:ascii="Times New Roman" w:cs="Times New Roman"/>
                      <w:b w:val="0"/>
                      <w:bCs w:val="0"/>
                      <w:color w:val="auto"/>
                      <w:lang w:val="en-US" w:eastAsia="zh-CN"/>
                    </w:rPr>
                    <w:t>工程选址选线、施工布置原则上不占用自然保护区....以及其他生态保护红线等环境敏感区中法律法规禁止占用的区域，并与饮用水水源保护区的保护要求相协调。法律法规、政策另有规定的从其规定。</w:t>
                  </w:r>
                </w:p>
              </w:tc>
              <w:tc>
                <w:tcPr>
                  <w:tcW w:w="2053" w:type="pct"/>
                  <w:tcBorders>
                    <w:tl2br w:val="nil"/>
                    <w:tr2bl w:val="nil"/>
                  </w:tcBorders>
                  <w:noWrap w:val="0"/>
                  <w:vAlign w:val="center"/>
                </w:tcPr>
                <w:p w14:paraId="0097847A">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cs="Times New Roman"/>
                      <w:b w:val="0"/>
                      <w:bCs w:val="0"/>
                      <w:color w:val="auto"/>
                      <w:lang w:val="en-US" w:eastAsia="zh-CN"/>
                    </w:rPr>
                  </w:pPr>
                  <w:r>
                    <w:rPr>
                      <w:rFonts w:hint="default" w:ascii="Times New Roman" w:cs="Times New Roman"/>
                      <w:b w:val="0"/>
                      <w:bCs w:val="0"/>
                      <w:color w:val="auto"/>
                      <w:lang w:val="en-US" w:eastAsia="zh-CN"/>
                    </w:rPr>
                    <w:t>项目位于岳阳楼区中心城区，不新增永久占地，不占用自然保护区</w:t>
                  </w:r>
                  <w:r>
                    <w:rPr>
                      <w:rFonts w:hint="eastAsia" w:ascii="Times New Roman" w:cs="Times New Roman"/>
                      <w:b w:val="0"/>
                      <w:bCs w:val="0"/>
                      <w:color w:val="auto"/>
                      <w:lang w:val="en-US" w:eastAsia="zh-CN"/>
                    </w:rPr>
                    <w:t>...</w:t>
                  </w:r>
                  <w:r>
                    <w:rPr>
                      <w:rFonts w:hint="default" w:ascii="Times New Roman" w:cs="Times New Roman"/>
                      <w:b w:val="0"/>
                      <w:bCs w:val="0"/>
                      <w:color w:val="auto"/>
                      <w:lang w:val="en-US" w:eastAsia="zh-CN"/>
                    </w:rPr>
                    <w:t>等法律法规禁止占用的区域。项目与岳阳楼区3个集中式饮用水水源地距离较远，与水源保护区保护要求相协调。</w:t>
                  </w:r>
                </w:p>
              </w:tc>
            </w:tr>
            <w:tr w14:paraId="7AE6EC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1" w:type="pct"/>
                  <w:tcBorders>
                    <w:tl2br w:val="nil"/>
                    <w:tr2bl w:val="nil"/>
                  </w:tcBorders>
                  <w:shd w:val="clear" w:color="auto" w:fill="auto"/>
                  <w:noWrap w:val="0"/>
                  <w:vAlign w:val="center"/>
                </w:tcPr>
                <w:p w14:paraId="262411A4">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0"/>
                      <w:lang w:val="en-US" w:eastAsia="zh-CN" w:bidi="ar-SA"/>
                    </w:rPr>
                  </w:pPr>
                  <w:r>
                    <w:rPr>
                      <w:rFonts w:hint="eastAsia" w:ascii="Times New Roman" w:cs="Times New Roman"/>
                      <w:b w:val="0"/>
                      <w:bCs w:val="0"/>
                      <w:color w:val="auto"/>
                      <w:lang w:val="en-US" w:eastAsia="zh-CN"/>
                    </w:rPr>
                    <w:t>4</w:t>
                  </w:r>
                </w:p>
              </w:tc>
              <w:tc>
                <w:tcPr>
                  <w:tcW w:w="2465" w:type="pct"/>
                  <w:tcBorders>
                    <w:tl2br w:val="nil"/>
                    <w:tr2bl w:val="nil"/>
                  </w:tcBorders>
                  <w:noWrap w:val="0"/>
                  <w:vAlign w:val="center"/>
                </w:tcPr>
                <w:p w14:paraId="1DC6FF4E">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cs="Times New Roman"/>
                      <w:b w:val="0"/>
                      <w:bCs w:val="0"/>
                      <w:color w:val="auto"/>
                      <w:lang w:val="en-US" w:eastAsia="zh-CN"/>
                    </w:rPr>
                  </w:pPr>
                  <w:r>
                    <w:rPr>
                      <w:rFonts w:hint="eastAsia" w:ascii="Times New Roman" w:cs="Times New Roman"/>
                      <w:b w:val="0"/>
                      <w:bCs w:val="0"/>
                      <w:color w:val="auto"/>
                      <w:lang w:val="en-US" w:eastAsia="zh-CN"/>
                    </w:rPr>
                    <w:t>项目实施改变水动力条件或水文过程且对水质产生不利影响的......，居民用水安全能够得到保障，相关区域不会出现显著的土壤潜育化、沼泽化、盐碱化等次生环境问题。</w:t>
                  </w:r>
                </w:p>
              </w:tc>
              <w:tc>
                <w:tcPr>
                  <w:tcW w:w="2053" w:type="pct"/>
                  <w:tcBorders>
                    <w:tl2br w:val="nil"/>
                    <w:tr2bl w:val="nil"/>
                  </w:tcBorders>
                  <w:noWrap w:val="0"/>
                  <w:vAlign w:val="center"/>
                </w:tcPr>
                <w:p w14:paraId="285B4A76">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cs="Times New Roman"/>
                      <w:b w:val="0"/>
                      <w:bCs w:val="0"/>
                      <w:color w:val="auto"/>
                      <w:lang w:val="en-US" w:eastAsia="zh-CN"/>
                    </w:rPr>
                  </w:pPr>
                  <w:r>
                    <w:rPr>
                      <w:rFonts w:hint="default" w:ascii="Times New Roman" w:cs="Times New Roman"/>
                      <w:b w:val="0"/>
                      <w:bCs w:val="0"/>
                      <w:color w:val="auto"/>
                      <w:lang w:val="en-US" w:eastAsia="zh-CN"/>
                    </w:rPr>
                    <w:t>项目通过新建雨水管道和清淤改善排水能力，缓解内涝，不会改变河湖水动力条件或对水质产生不利影响。施工期基坑降水经沉淀后排放，对地下水影响小。项目不会导致土壤潜育化、沼泽化、盐碱化等问题。</w:t>
                  </w:r>
                </w:p>
              </w:tc>
            </w:tr>
            <w:tr w14:paraId="16594D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1" w:type="pct"/>
                  <w:tcBorders>
                    <w:tl2br w:val="nil"/>
                    <w:tr2bl w:val="nil"/>
                  </w:tcBorders>
                  <w:shd w:val="clear" w:color="auto" w:fill="auto"/>
                  <w:noWrap w:val="0"/>
                  <w:vAlign w:val="center"/>
                </w:tcPr>
                <w:p w14:paraId="4CE43704">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0"/>
                      <w:lang w:val="en-US" w:eastAsia="zh-CN" w:bidi="ar-SA"/>
                    </w:rPr>
                  </w:pPr>
                  <w:r>
                    <w:rPr>
                      <w:rFonts w:hint="eastAsia" w:ascii="Times New Roman" w:cs="Times New Roman"/>
                      <w:b w:val="0"/>
                      <w:bCs w:val="0"/>
                      <w:color w:val="auto"/>
                      <w:lang w:val="en-US" w:eastAsia="zh-CN"/>
                    </w:rPr>
                    <w:t>5</w:t>
                  </w:r>
                </w:p>
              </w:tc>
              <w:tc>
                <w:tcPr>
                  <w:tcW w:w="2465" w:type="pct"/>
                  <w:tcBorders>
                    <w:tl2br w:val="nil"/>
                    <w:tr2bl w:val="nil"/>
                  </w:tcBorders>
                  <w:noWrap w:val="0"/>
                  <w:vAlign w:val="center"/>
                </w:tcPr>
                <w:p w14:paraId="46D063C7">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cs="Times New Roman"/>
                      <w:b w:val="0"/>
                      <w:bCs w:val="0"/>
                      <w:color w:val="auto"/>
                      <w:lang w:val="en-US" w:eastAsia="zh-CN"/>
                    </w:rPr>
                  </w:pPr>
                  <w:r>
                    <w:rPr>
                      <w:rFonts w:hint="eastAsia" w:ascii="Times New Roman" w:cs="Times New Roman"/>
                      <w:b w:val="0"/>
                      <w:bCs w:val="0"/>
                      <w:color w:val="auto"/>
                      <w:lang w:val="en-US" w:eastAsia="zh-CN"/>
                    </w:rPr>
                    <w:t>项目对鱼类等水生生物的洄游通道及“三场”......不会对相关河段水生生态系统造成重大不利影响。</w:t>
                  </w:r>
                </w:p>
              </w:tc>
              <w:tc>
                <w:tcPr>
                  <w:tcW w:w="2053" w:type="pct"/>
                  <w:tcBorders>
                    <w:tl2br w:val="nil"/>
                    <w:tr2bl w:val="nil"/>
                  </w:tcBorders>
                  <w:noWrap w:val="0"/>
                  <w:vAlign w:val="center"/>
                </w:tcPr>
                <w:p w14:paraId="5C6066DC">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cs="Times New Roman"/>
                      <w:b w:val="0"/>
                      <w:bCs w:val="0"/>
                      <w:color w:val="auto"/>
                      <w:lang w:val="en-US" w:eastAsia="zh-CN"/>
                    </w:rPr>
                  </w:pPr>
                  <w:r>
                    <w:rPr>
                      <w:rFonts w:hint="default" w:ascii="Times New Roman" w:cs="Times New Roman"/>
                      <w:b w:val="0"/>
                      <w:bCs w:val="0"/>
                      <w:color w:val="auto"/>
                      <w:lang w:val="en-US" w:eastAsia="zh-CN"/>
                    </w:rPr>
                    <w:t>项目主要为城区排水管道改造、清淤，不涉及河道整治，不会对鱼类洄游通道及“三场”等重要生境产生不利影响。</w:t>
                  </w:r>
                </w:p>
              </w:tc>
            </w:tr>
            <w:tr w14:paraId="78A412A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1" w:type="pct"/>
                  <w:tcBorders>
                    <w:tl2br w:val="nil"/>
                    <w:tr2bl w:val="nil"/>
                  </w:tcBorders>
                  <w:shd w:val="clear" w:color="auto" w:fill="auto"/>
                  <w:noWrap w:val="0"/>
                  <w:vAlign w:val="center"/>
                </w:tcPr>
                <w:p w14:paraId="18C1CDB0">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0"/>
                      <w:lang w:val="en-US" w:eastAsia="zh-CN" w:bidi="ar-SA"/>
                    </w:rPr>
                  </w:pPr>
                  <w:r>
                    <w:rPr>
                      <w:rFonts w:hint="eastAsia" w:ascii="Times New Roman" w:cs="Times New Roman"/>
                      <w:b w:val="0"/>
                      <w:bCs w:val="0"/>
                      <w:color w:val="auto"/>
                      <w:lang w:val="en-US" w:eastAsia="zh-CN"/>
                    </w:rPr>
                    <w:t>6</w:t>
                  </w:r>
                </w:p>
              </w:tc>
              <w:tc>
                <w:tcPr>
                  <w:tcW w:w="2465" w:type="pct"/>
                  <w:tcBorders>
                    <w:tl2br w:val="nil"/>
                    <w:tr2bl w:val="nil"/>
                  </w:tcBorders>
                  <w:noWrap w:val="0"/>
                  <w:vAlign w:val="center"/>
                </w:tcPr>
                <w:p w14:paraId="14C8FA58">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cs="Times New Roman"/>
                      <w:b w:val="0"/>
                      <w:bCs w:val="0"/>
                      <w:color w:val="auto"/>
                      <w:lang w:val="en-US" w:eastAsia="zh-CN"/>
                    </w:rPr>
                  </w:pPr>
                  <w:r>
                    <w:rPr>
                      <w:rFonts w:hint="eastAsia" w:ascii="Times New Roman" w:cs="Times New Roman"/>
                      <w:b w:val="0"/>
                      <w:bCs w:val="0"/>
                      <w:color w:val="auto"/>
                      <w:lang w:val="en-US" w:eastAsia="zh-CN"/>
                    </w:rPr>
                    <w:t>项目对湿地生态系统结构和功能、河湖生态缓冲带造成不利影响的，提出了优化工程设计及调度运行方案、生态修复等措施。对珍稀濒危保护植物......，不会对陆生生态系统造成重大不利影响。</w:t>
                  </w:r>
                </w:p>
              </w:tc>
              <w:tc>
                <w:tcPr>
                  <w:tcW w:w="2053" w:type="pct"/>
                  <w:tcBorders>
                    <w:tl2br w:val="nil"/>
                    <w:tr2bl w:val="nil"/>
                  </w:tcBorders>
                  <w:noWrap w:val="0"/>
                  <w:vAlign w:val="center"/>
                </w:tcPr>
                <w:p w14:paraId="0EB49853">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cs="Times New Roman"/>
                      <w:b w:val="0"/>
                      <w:bCs w:val="0"/>
                      <w:color w:val="auto"/>
                      <w:lang w:val="en-US" w:eastAsia="zh-CN"/>
                    </w:rPr>
                  </w:pPr>
                  <w:r>
                    <w:rPr>
                      <w:rFonts w:hint="default" w:ascii="Times New Roman" w:cs="Times New Roman"/>
                      <w:b w:val="0"/>
                      <w:bCs w:val="0"/>
                      <w:color w:val="auto"/>
                      <w:lang w:val="en-US" w:eastAsia="zh-CN"/>
                    </w:rPr>
                    <w:t>项目不占用重要湿地，施工结束后及时对临时占地进行恢复，对湿地生态系统及河湖缓冲带影响小。评价区人为活动密集，未发现珍稀濒危保护动植物，施工期采取了控制作业范围、洒水降尘等措施，不会对陆生生态系统造成重大不利影响。</w:t>
                  </w:r>
                </w:p>
              </w:tc>
            </w:tr>
            <w:tr w14:paraId="4AC535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1" w:type="pct"/>
                  <w:tcBorders>
                    <w:tl2br w:val="nil"/>
                    <w:tr2bl w:val="nil"/>
                  </w:tcBorders>
                  <w:shd w:val="clear" w:color="auto" w:fill="auto"/>
                  <w:noWrap w:val="0"/>
                  <w:vAlign w:val="center"/>
                </w:tcPr>
                <w:p w14:paraId="2AE6C510">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0"/>
                      <w:lang w:val="en-US" w:eastAsia="zh-CN" w:bidi="ar-SA"/>
                    </w:rPr>
                  </w:pPr>
                  <w:r>
                    <w:rPr>
                      <w:rFonts w:hint="eastAsia" w:ascii="Times New Roman" w:cs="Times New Roman"/>
                      <w:b w:val="0"/>
                      <w:bCs w:val="0"/>
                      <w:color w:val="auto"/>
                      <w:lang w:val="en-US" w:eastAsia="zh-CN"/>
                    </w:rPr>
                    <w:t>7</w:t>
                  </w:r>
                </w:p>
              </w:tc>
              <w:tc>
                <w:tcPr>
                  <w:tcW w:w="2465" w:type="pct"/>
                  <w:tcBorders>
                    <w:tl2br w:val="nil"/>
                    <w:tr2bl w:val="nil"/>
                  </w:tcBorders>
                  <w:noWrap w:val="0"/>
                  <w:vAlign w:val="center"/>
                </w:tcPr>
                <w:p w14:paraId="44E9D676">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cs="Times New Roman"/>
                      <w:b w:val="0"/>
                      <w:bCs w:val="0"/>
                      <w:color w:val="auto"/>
                      <w:lang w:val="en-US" w:eastAsia="zh-CN"/>
                    </w:rPr>
                  </w:pPr>
                  <w:r>
                    <w:rPr>
                      <w:rFonts w:hint="eastAsia" w:ascii="Times New Roman" w:cs="Times New Roman"/>
                      <w:b w:val="0"/>
                      <w:bCs w:val="0"/>
                      <w:color w:val="auto"/>
                      <w:lang w:val="en-US" w:eastAsia="zh-CN"/>
                    </w:rPr>
                    <w:t>项目施工组织方案具有环境合理性，对料场、弃土（渣）场等施工场地提出了水土流失防治和生态修复等措施。根据环境保护相关标准和要求，对施工期各类废（污）水、扬尘、废气、噪声、固体废物等提出了防治或处置措施。其中，涉水施工涉及饮用水水源保护区.....。</w:t>
                  </w:r>
                </w:p>
              </w:tc>
              <w:tc>
                <w:tcPr>
                  <w:tcW w:w="2053" w:type="pct"/>
                  <w:tcBorders>
                    <w:tl2br w:val="nil"/>
                    <w:tr2bl w:val="nil"/>
                  </w:tcBorders>
                  <w:noWrap w:val="0"/>
                  <w:vAlign w:val="center"/>
                </w:tcPr>
                <w:p w14:paraId="2E72DFF3">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cs="Times New Roman"/>
                      <w:b w:val="0"/>
                      <w:bCs w:val="0"/>
                      <w:color w:val="auto"/>
                      <w:lang w:val="en-US" w:eastAsia="zh-CN"/>
                    </w:rPr>
                  </w:pPr>
                  <w:r>
                    <w:rPr>
                      <w:rFonts w:hint="default" w:ascii="Times New Roman" w:cs="Times New Roman"/>
                      <w:b w:val="0"/>
                      <w:bCs w:val="0"/>
                      <w:color w:val="auto"/>
                      <w:lang w:val="en-US" w:eastAsia="zh-CN"/>
                    </w:rPr>
                    <w:t>施工方案环境合理，不设料场、弃渣场，并提出了表土剥离、截排水沟、土地整治复垦等水土流失防治措施。已对施工扬尘、废水、噪声、固废（包括清淤淤泥）等提出具体处置措施。不涉及在饮用水水源保护区涉水施工。施工期不利影响是暂时的、可控的。</w:t>
                  </w:r>
                </w:p>
              </w:tc>
            </w:tr>
            <w:tr w14:paraId="1DC304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1" w:type="pct"/>
                  <w:tcBorders>
                    <w:tl2br w:val="nil"/>
                    <w:tr2bl w:val="nil"/>
                  </w:tcBorders>
                  <w:shd w:val="clear" w:color="auto" w:fill="auto"/>
                  <w:noWrap w:val="0"/>
                  <w:vAlign w:val="center"/>
                </w:tcPr>
                <w:p w14:paraId="78A02D92">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0"/>
                      <w:lang w:val="en-US" w:eastAsia="zh-CN" w:bidi="ar-SA"/>
                    </w:rPr>
                  </w:pPr>
                  <w:r>
                    <w:rPr>
                      <w:rFonts w:hint="eastAsia" w:ascii="Times New Roman" w:cs="Times New Roman"/>
                      <w:b w:val="0"/>
                      <w:bCs w:val="0"/>
                      <w:color w:val="auto"/>
                      <w:lang w:val="en-US" w:eastAsia="zh-CN"/>
                    </w:rPr>
                    <w:t>8</w:t>
                  </w:r>
                </w:p>
              </w:tc>
              <w:tc>
                <w:tcPr>
                  <w:tcW w:w="2465" w:type="pct"/>
                  <w:tcBorders>
                    <w:tl2br w:val="nil"/>
                    <w:tr2bl w:val="nil"/>
                  </w:tcBorders>
                  <w:noWrap w:val="0"/>
                  <w:vAlign w:val="center"/>
                </w:tcPr>
                <w:p w14:paraId="69C47357">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cs="Times New Roman"/>
                      <w:b w:val="0"/>
                      <w:bCs w:val="0"/>
                      <w:color w:val="auto"/>
                      <w:lang w:val="en-US" w:eastAsia="zh-CN"/>
                    </w:rPr>
                  </w:pPr>
                  <w:r>
                    <w:rPr>
                      <w:rFonts w:hint="eastAsia" w:ascii="Times New Roman" w:cs="Times New Roman"/>
                      <w:b w:val="0"/>
                      <w:bCs w:val="0"/>
                      <w:color w:val="auto"/>
                      <w:lang w:val="en-US" w:eastAsia="zh-CN"/>
                    </w:rPr>
                    <w:t>项目移民安置的选址和建设方式具有环境合理性，提出了生态保护、污水处理、固体废物处置等措施。</w:t>
                  </w:r>
                </w:p>
                <w:p w14:paraId="4AC9BBAD">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cs="Times New Roman"/>
                      <w:b w:val="0"/>
                      <w:bCs w:val="0"/>
                      <w:color w:val="auto"/>
                      <w:lang w:val="en-US" w:eastAsia="zh-CN"/>
                    </w:rPr>
                  </w:pPr>
                  <w:r>
                    <w:rPr>
                      <w:rFonts w:hint="eastAsia" w:ascii="Times New Roman" w:cs="Times New Roman"/>
                      <w:b w:val="0"/>
                      <w:bCs w:val="0"/>
                      <w:color w:val="auto"/>
                      <w:lang w:val="en-US" w:eastAsia="zh-CN"/>
                    </w:rPr>
                    <w:t>针对蓄滞洪区的环境污染、新增占地涉及污染场地等，提出了环境管理对策建议。</w:t>
                  </w:r>
                </w:p>
              </w:tc>
              <w:tc>
                <w:tcPr>
                  <w:tcW w:w="2053" w:type="pct"/>
                  <w:tcBorders>
                    <w:tl2br w:val="nil"/>
                    <w:tr2bl w:val="nil"/>
                  </w:tcBorders>
                  <w:noWrap w:val="0"/>
                  <w:vAlign w:val="center"/>
                </w:tcPr>
                <w:p w14:paraId="60EB821B">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cs="Times New Roman"/>
                      <w:b w:val="0"/>
                      <w:bCs w:val="0"/>
                      <w:color w:val="auto"/>
                      <w:lang w:val="en-US" w:eastAsia="zh-CN"/>
                    </w:rPr>
                  </w:pPr>
                  <w:r>
                    <w:rPr>
                      <w:rFonts w:hint="default" w:ascii="Times New Roman" w:cs="Times New Roman"/>
                      <w:b w:val="0"/>
                      <w:bCs w:val="0"/>
                      <w:color w:val="auto"/>
                      <w:lang w:val="en-US" w:eastAsia="zh-CN"/>
                    </w:rPr>
                    <w:t>项目无新增永久占地，不涉及移民安置和蓄滞洪区建设。</w:t>
                  </w:r>
                </w:p>
              </w:tc>
            </w:tr>
            <w:tr w14:paraId="426C9E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1" w:type="pct"/>
                  <w:tcBorders>
                    <w:tl2br w:val="nil"/>
                    <w:tr2bl w:val="nil"/>
                  </w:tcBorders>
                  <w:shd w:val="clear" w:color="auto" w:fill="auto"/>
                  <w:noWrap w:val="0"/>
                  <w:vAlign w:val="center"/>
                </w:tcPr>
                <w:p w14:paraId="2D41AA60">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0"/>
                      <w:lang w:val="en-US" w:eastAsia="zh-CN" w:bidi="ar-SA"/>
                    </w:rPr>
                  </w:pPr>
                  <w:r>
                    <w:rPr>
                      <w:rFonts w:hint="eastAsia" w:ascii="Times New Roman" w:cs="Times New Roman"/>
                      <w:b w:val="0"/>
                      <w:bCs w:val="0"/>
                      <w:color w:val="auto"/>
                      <w:lang w:val="en-US" w:eastAsia="zh-CN"/>
                    </w:rPr>
                    <w:t>9</w:t>
                  </w:r>
                </w:p>
              </w:tc>
              <w:tc>
                <w:tcPr>
                  <w:tcW w:w="2465" w:type="pct"/>
                  <w:tcBorders>
                    <w:tl2br w:val="nil"/>
                    <w:tr2bl w:val="nil"/>
                  </w:tcBorders>
                  <w:noWrap w:val="0"/>
                  <w:vAlign w:val="center"/>
                </w:tcPr>
                <w:p w14:paraId="7A9EFED1">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cs="Times New Roman"/>
                      <w:b w:val="0"/>
                      <w:bCs w:val="0"/>
                      <w:color w:val="auto"/>
                      <w:lang w:val="en-US" w:eastAsia="zh-CN"/>
                    </w:rPr>
                  </w:pPr>
                  <w:r>
                    <w:rPr>
                      <w:rFonts w:hint="eastAsia" w:ascii="Times New Roman" w:cs="Times New Roman"/>
                      <w:b w:val="0"/>
                      <w:bCs w:val="0"/>
                      <w:color w:val="auto"/>
                      <w:lang w:val="en-US" w:eastAsia="zh-CN"/>
                    </w:rPr>
                    <w:t>项目存在河湖水质污染、富营养化或外来物种入侵等环境风险的，提出了针对性的风险防范措施以及环境应急预案编制、建立必要的应急联动机制等要求。</w:t>
                  </w:r>
                </w:p>
              </w:tc>
              <w:tc>
                <w:tcPr>
                  <w:tcW w:w="2053" w:type="pct"/>
                  <w:tcBorders>
                    <w:tl2br w:val="nil"/>
                    <w:tr2bl w:val="nil"/>
                  </w:tcBorders>
                  <w:noWrap w:val="0"/>
                  <w:vAlign w:val="center"/>
                </w:tcPr>
                <w:p w14:paraId="18A652DD">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cs="Times New Roman"/>
                      <w:b w:val="0"/>
                      <w:bCs w:val="0"/>
                      <w:color w:val="auto"/>
                      <w:lang w:val="en-US" w:eastAsia="zh-CN"/>
                    </w:rPr>
                  </w:pPr>
                  <w:r>
                    <w:rPr>
                      <w:rFonts w:hint="default" w:ascii="Times New Roman" w:cs="Times New Roman"/>
                      <w:b w:val="0"/>
                      <w:bCs w:val="0"/>
                      <w:color w:val="auto"/>
                      <w:lang w:val="en-US" w:eastAsia="zh-CN"/>
                    </w:rPr>
                    <w:t>项目为排水防涝工程，运营期不产生污染，不会导致河湖水质污染或富营养化，不涉及外来物种入侵等环境风险。</w:t>
                  </w:r>
                </w:p>
              </w:tc>
            </w:tr>
            <w:tr w14:paraId="7E16596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1" w:type="pct"/>
                  <w:tcBorders>
                    <w:tl2br w:val="nil"/>
                    <w:tr2bl w:val="nil"/>
                  </w:tcBorders>
                  <w:shd w:val="clear" w:color="auto" w:fill="auto"/>
                  <w:noWrap w:val="0"/>
                  <w:vAlign w:val="center"/>
                </w:tcPr>
                <w:p w14:paraId="7EA85F4C">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0"/>
                      <w:lang w:val="en-US" w:eastAsia="zh-CN" w:bidi="ar-SA"/>
                    </w:rPr>
                  </w:pPr>
                  <w:r>
                    <w:rPr>
                      <w:rFonts w:hint="eastAsia" w:ascii="Times New Roman" w:cs="Times New Roman"/>
                      <w:b w:val="0"/>
                      <w:bCs w:val="0"/>
                      <w:color w:val="auto"/>
                      <w:lang w:val="en-US" w:eastAsia="zh-CN"/>
                    </w:rPr>
                    <w:t>10</w:t>
                  </w:r>
                </w:p>
              </w:tc>
              <w:tc>
                <w:tcPr>
                  <w:tcW w:w="2465" w:type="pct"/>
                  <w:tcBorders>
                    <w:tl2br w:val="nil"/>
                    <w:tr2bl w:val="nil"/>
                  </w:tcBorders>
                  <w:noWrap w:val="0"/>
                  <w:vAlign w:val="center"/>
                </w:tcPr>
                <w:p w14:paraId="5AD40532">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cs="Times New Roman"/>
                      <w:b w:val="0"/>
                      <w:bCs w:val="0"/>
                      <w:color w:val="auto"/>
                      <w:lang w:val="en-US" w:eastAsia="zh-CN"/>
                    </w:rPr>
                  </w:pPr>
                  <w:r>
                    <w:rPr>
                      <w:rFonts w:hint="eastAsia" w:ascii="Times New Roman" w:cs="Times New Roman"/>
                      <w:b w:val="0"/>
                      <w:bCs w:val="0"/>
                      <w:color w:val="auto"/>
                      <w:lang w:val="en-US" w:eastAsia="zh-CN"/>
                    </w:rPr>
                    <w:t>改、扩建项目在全面梳理了与项目有关的现有工程环境问题基础上，提出了与项目相适应的“以新带老”措施。</w:t>
                  </w:r>
                </w:p>
              </w:tc>
              <w:tc>
                <w:tcPr>
                  <w:tcW w:w="2053" w:type="pct"/>
                  <w:tcBorders>
                    <w:tl2br w:val="nil"/>
                    <w:tr2bl w:val="nil"/>
                  </w:tcBorders>
                  <w:noWrap w:val="0"/>
                  <w:vAlign w:val="center"/>
                </w:tcPr>
                <w:p w14:paraId="0860D61C">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cs="Times New Roman"/>
                      <w:b w:val="0"/>
                      <w:bCs w:val="0"/>
                      <w:color w:val="auto"/>
                      <w:lang w:val="en-US" w:eastAsia="zh-CN"/>
                    </w:rPr>
                  </w:pPr>
                  <w:r>
                    <w:rPr>
                      <w:rFonts w:hint="default" w:ascii="Times New Roman" w:cs="Times New Roman"/>
                      <w:b w:val="0"/>
                      <w:bCs w:val="0"/>
                      <w:color w:val="auto"/>
                      <w:lang w:val="en-US" w:eastAsia="zh-CN"/>
                    </w:rPr>
                    <w:t>本项目为改建项目，旨在解决因管网老旧、塌陷、淤堵等造成的城市内涝问题，建设内容本身就是“以新带老”、解决现有环境问题的措施。根据现场调查，未见其他原有环境污染及生态破坏问题。</w:t>
                  </w:r>
                </w:p>
              </w:tc>
            </w:tr>
            <w:tr w14:paraId="63316C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1" w:type="pct"/>
                  <w:tcBorders>
                    <w:tl2br w:val="nil"/>
                    <w:tr2bl w:val="nil"/>
                  </w:tcBorders>
                  <w:shd w:val="clear" w:color="auto" w:fill="auto"/>
                  <w:noWrap w:val="0"/>
                  <w:vAlign w:val="center"/>
                </w:tcPr>
                <w:p w14:paraId="7345CE49">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0"/>
                      <w:lang w:val="en-US" w:eastAsia="zh-CN" w:bidi="ar-SA"/>
                    </w:rPr>
                  </w:pPr>
                  <w:r>
                    <w:rPr>
                      <w:rFonts w:hint="eastAsia" w:ascii="Times New Roman" w:cs="Times New Roman"/>
                      <w:b w:val="0"/>
                      <w:bCs w:val="0"/>
                      <w:color w:val="auto"/>
                      <w:lang w:val="en-US" w:eastAsia="zh-CN"/>
                    </w:rPr>
                    <w:t>11</w:t>
                  </w:r>
                </w:p>
              </w:tc>
              <w:tc>
                <w:tcPr>
                  <w:tcW w:w="2465" w:type="pct"/>
                  <w:tcBorders>
                    <w:tl2br w:val="nil"/>
                    <w:tr2bl w:val="nil"/>
                  </w:tcBorders>
                  <w:noWrap w:val="0"/>
                  <w:vAlign w:val="center"/>
                </w:tcPr>
                <w:p w14:paraId="62C1509C">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cs="Times New Roman"/>
                      <w:b w:val="0"/>
                      <w:bCs w:val="0"/>
                      <w:color w:val="auto"/>
                      <w:lang w:val="en-US" w:eastAsia="zh-CN"/>
                    </w:rPr>
                  </w:pPr>
                  <w:r>
                    <w:rPr>
                      <w:rFonts w:hint="eastAsia" w:ascii="Times New Roman" w:cs="Times New Roman"/>
                      <w:b w:val="0"/>
                      <w:bCs w:val="0"/>
                      <w:color w:val="auto"/>
                      <w:lang w:val="en-US" w:eastAsia="zh-CN"/>
                    </w:rPr>
                    <w:t>按相关导则及规定要求，制定了水环境、生态等环境监测计划，明确了监测网点、因子、频次等有关要求，提出了开展环境影响后评价及根据监测评估结果优化环境保护措施的要求。根据需要和相关规定，提出了环境保护设计、开展相关科学研究、环境管理等要求。</w:t>
                  </w:r>
                </w:p>
              </w:tc>
              <w:tc>
                <w:tcPr>
                  <w:tcW w:w="2053" w:type="pct"/>
                  <w:tcBorders>
                    <w:tl2br w:val="nil"/>
                    <w:tr2bl w:val="nil"/>
                  </w:tcBorders>
                  <w:noWrap w:val="0"/>
                  <w:vAlign w:val="center"/>
                </w:tcPr>
                <w:p w14:paraId="46868A9D">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cs="Times New Roman"/>
                      <w:b w:val="0"/>
                      <w:bCs w:val="0"/>
                      <w:color w:val="auto"/>
                      <w:lang w:val="en-US" w:eastAsia="zh-CN"/>
                    </w:rPr>
                  </w:pPr>
                  <w:r>
                    <w:rPr>
                      <w:rFonts w:hint="default" w:ascii="Times New Roman" w:cs="Times New Roman"/>
                      <w:b w:val="0"/>
                      <w:bCs w:val="0"/>
                      <w:color w:val="auto"/>
                      <w:lang w:val="en-US" w:eastAsia="zh-CN"/>
                    </w:rPr>
                    <w:t>报告已</w:t>
                  </w:r>
                  <w:r>
                    <w:rPr>
                      <w:rFonts w:hint="eastAsia" w:ascii="Times New Roman" w:cs="Times New Roman"/>
                      <w:b w:val="0"/>
                      <w:bCs w:val="0"/>
                      <w:color w:val="auto"/>
                      <w:lang w:val="en-US" w:eastAsia="zh-CN"/>
                    </w:rPr>
                    <w:t>提出</w:t>
                  </w:r>
                  <w:r>
                    <w:rPr>
                      <w:rFonts w:hint="default" w:ascii="Times New Roman" w:cs="Times New Roman"/>
                      <w:b w:val="0"/>
                      <w:bCs w:val="0"/>
                      <w:color w:val="auto"/>
                      <w:lang w:val="en-US" w:eastAsia="zh-CN"/>
                    </w:rPr>
                    <w:t>施工期</w:t>
                  </w:r>
                  <w:r>
                    <w:rPr>
                      <w:rFonts w:hint="eastAsia" w:ascii="Times New Roman" w:cs="Times New Roman"/>
                      <w:b w:val="0"/>
                      <w:bCs w:val="0"/>
                      <w:color w:val="auto"/>
                      <w:lang w:val="en-US" w:eastAsia="zh-CN"/>
                    </w:rPr>
                    <w:t>环境管理、</w:t>
                  </w:r>
                  <w:r>
                    <w:rPr>
                      <w:rFonts w:hint="default" w:ascii="Times New Roman" w:cs="Times New Roman"/>
                      <w:b w:val="0"/>
                      <w:bCs w:val="0"/>
                      <w:color w:val="auto"/>
                      <w:lang w:val="en-US" w:eastAsia="zh-CN"/>
                    </w:rPr>
                    <w:t>优化措施、加强环境监理等要求。</w:t>
                  </w:r>
                </w:p>
              </w:tc>
            </w:tr>
            <w:tr w14:paraId="21AC3E2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1" w:type="pct"/>
                  <w:tcBorders>
                    <w:tl2br w:val="nil"/>
                    <w:tr2bl w:val="nil"/>
                  </w:tcBorders>
                  <w:shd w:val="clear" w:color="auto" w:fill="auto"/>
                  <w:noWrap w:val="0"/>
                  <w:vAlign w:val="center"/>
                </w:tcPr>
                <w:p w14:paraId="0A48BF06">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0"/>
                      <w:lang w:val="en-US" w:eastAsia="zh-CN" w:bidi="ar-SA"/>
                    </w:rPr>
                  </w:pPr>
                  <w:r>
                    <w:rPr>
                      <w:rFonts w:hint="eastAsia" w:ascii="Times New Roman" w:cs="Times New Roman"/>
                      <w:b w:val="0"/>
                      <w:bCs w:val="0"/>
                      <w:color w:val="auto"/>
                      <w:lang w:val="en-US" w:eastAsia="zh-CN"/>
                    </w:rPr>
                    <w:t>12</w:t>
                  </w:r>
                </w:p>
              </w:tc>
              <w:tc>
                <w:tcPr>
                  <w:tcW w:w="2465" w:type="pct"/>
                  <w:tcBorders>
                    <w:tl2br w:val="nil"/>
                    <w:tr2bl w:val="nil"/>
                  </w:tcBorders>
                  <w:noWrap w:val="0"/>
                  <w:vAlign w:val="center"/>
                </w:tcPr>
                <w:p w14:paraId="344B4A5E">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cs="Times New Roman"/>
                      <w:b w:val="0"/>
                      <w:bCs w:val="0"/>
                      <w:color w:val="auto"/>
                      <w:lang w:val="en-US" w:eastAsia="zh-CN"/>
                    </w:rPr>
                  </w:pPr>
                  <w:r>
                    <w:rPr>
                      <w:rFonts w:hint="eastAsia" w:ascii="Times New Roman" w:cs="Times New Roman"/>
                      <w:b w:val="0"/>
                      <w:bCs w:val="0"/>
                      <w:color w:val="auto"/>
                      <w:lang w:val="en-US" w:eastAsia="zh-CN"/>
                    </w:rPr>
                    <w:t>对环境保护措施进行了深入论证，建设单位主体责任、投资估算、时间节点、预期效果明确，确保科学有效、安全可行、绿色协调。</w:t>
                  </w:r>
                </w:p>
              </w:tc>
              <w:tc>
                <w:tcPr>
                  <w:tcW w:w="2053" w:type="pct"/>
                  <w:tcBorders>
                    <w:tl2br w:val="nil"/>
                    <w:tr2bl w:val="nil"/>
                  </w:tcBorders>
                  <w:noWrap w:val="0"/>
                  <w:vAlign w:val="center"/>
                </w:tcPr>
                <w:p w14:paraId="0DA0605D">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cs="Times New Roman"/>
                      <w:b w:val="0"/>
                      <w:bCs w:val="0"/>
                      <w:color w:val="auto"/>
                      <w:lang w:val="en-US" w:eastAsia="zh-CN"/>
                    </w:rPr>
                  </w:pPr>
                  <w:r>
                    <w:rPr>
                      <w:rFonts w:hint="default" w:ascii="Times New Roman" w:cs="Times New Roman"/>
                      <w:b w:val="0"/>
                      <w:bCs w:val="0"/>
                      <w:color w:val="auto"/>
                      <w:lang w:val="en-US" w:eastAsia="zh-CN"/>
                    </w:rPr>
                    <w:t>报告表中已明确各项施工期环保措施，列出了总计</w:t>
                  </w:r>
                  <w:r>
                    <w:rPr>
                      <w:rFonts w:hint="eastAsia" w:ascii="Times New Roman" w:cs="Times New Roman"/>
                      <w:b w:val="0"/>
                      <w:bCs w:val="0"/>
                      <w:color w:val="auto"/>
                      <w:highlight w:val="none"/>
                      <w:lang w:val="en-US" w:eastAsia="zh-CN"/>
                    </w:rPr>
                    <w:t>34</w:t>
                  </w:r>
                  <w:r>
                    <w:rPr>
                      <w:rFonts w:hint="default" w:ascii="Times New Roman" w:cs="Times New Roman"/>
                      <w:b w:val="0"/>
                      <w:bCs w:val="0"/>
                      <w:color w:val="auto"/>
                      <w:highlight w:val="none"/>
                      <w:lang w:val="en-US" w:eastAsia="zh-CN"/>
                    </w:rPr>
                    <w:t>0万元</w:t>
                  </w:r>
                  <w:r>
                    <w:rPr>
                      <w:rFonts w:hint="default" w:ascii="Times New Roman" w:cs="Times New Roman"/>
                      <w:b w:val="0"/>
                      <w:bCs w:val="0"/>
                      <w:color w:val="auto"/>
                      <w:lang w:val="en-US" w:eastAsia="zh-CN"/>
                    </w:rPr>
                    <w:t>的环保投资，明确了建设单位和施工单位的责任，措施可行，预期效果明确。</w:t>
                  </w:r>
                </w:p>
              </w:tc>
            </w:tr>
            <w:tr w14:paraId="542C60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1" w:type="pct"/>
                  <w:tcBorders>
                    <w:tl2br w:val="nil"/>
                    <w:tr2bl w:val="nil"/>
                  </w:tcBorders>
                  <w:noWrap w:val="0"/>
                  <w:vAlign w:val="center"/>
                </w:tcPr>
                <w:p w14:paraId="009FBAA2">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cs="Times New Roman"/>
                      <w:b w:val="0"/>
                      <w:bCs w:val="0"/>
                      <w:color w:val="auto"/>
                      <w:lang w:val="en-US" w:eastAsia="zh-CN"/>
                    </w:rPr>
                  </w:pPr>
                </w:p>
              </w:tc>
              <w:tc>
                <w:tcPr>
                  <w:tcW w:w="2465" w:type="pct"/>
                  <w:tcBorders>
                    <w:tl2br w:val="nil"/>
                    <w:tr2bl w:val="nil"/>
                  </w:tcBorders>
                  <w:noWrap w:val="0"/>
                  <w:vAlign w:val="center"/>
                </w:tcPr>
                <w:p w14:paraId="5A4F64CA">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cs="Times New Roman"/>
                      <w:b w:val="0"/>
                      <w:bCs w:val="0"/>
                      <w:color w:val="auto"/>
                      <w:lang w:val="en-US" w:eastAsia="zh-CN"/>
                    </w:rPr>
                  </w:pPr>
                  <w:r>
                    <w:rPr>
                      <w:rFonts w:hint="eastAsia" w:ascii="Times New Roman" w:cs="Times New Roman"/>
                      <w:b w:val="0"/>
                      <w:bCs w:val="0"/>
                      <w:color w:val="auto"/>
                      <w:lang w:val="en-US" w:eastAsia="zh-CN"/>
                    </w:rPr>
                    <w:t>按相关规定开展了信息公开和公众参与。</w:t>
                  </w:r>
                </w:p>
              </w:tc>
              <w:tc>
                <w:tcPr>
                  <w:tcW w:w="2053" w:type="pct"/>
                  <w:tcBorders>
                    <w:tl2br w:val="nil"/>
                    <w:tr2bl w:val="nil"/>
                  </w:tcBorders>
                  <w:noWrap w:val="0"/>
                  <w:vAlign w:val="center"/>
                </w:tcPr>
                <w:p w14:paraId="2A3D2981">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cs="Times New Roman"/>
                      <w:b w:val="0"/>
                      <w:bCs w:val="0"/>
                      <w:color w:val="auto"/>
                      <w:lang w:val="en-US" w:eastAsia="zh-CN"/>
                    </w:rPr>
                  </w:pPr>
                  <w:r>
                    <w:rPr>
                      <w:rFonts w:hint="default" w:ascii="Times New Roman" w:cs="Times New Roman"/>
                      <w:b w:val="0"/>
                      <w:bCs w:val="0"/>
                      <w:color w:val="auto"/>
                      <w:lang w:val="en-US" w:eastAsia="zh-CN"/>
                    </w:rPr>
                    <w:t>报告表</w:t>
                  </w:r>
                  <w:r>
                    <w:rPr>
                      <w:rFonts w:hint="eastAsia" w:ascii="Times New Roman" w:cs="Times New Roman"/>
                      <w:b w:val="0"/>
                      <w:bCs w:val="0"/>
                      <w:color w:val="auto"/>
                      <w:lang w:val="en-US" w:eastAsia="zh-CN"/>
                    </w:rPr>
                    <w:t>编制指南没有规定要进行公众参与</w:t>
                  </w:r>
                  <w:r>
                    <w:rPr>
                      <w:rFonts w:hint="default" w:ascii="Times New Roman" w:cs="Times New Roman"/>
                      <w:b w:val="0"/>
                      <w:bCs w:val="0"/>
                      <w:color w:val="auto"/>
                      <w:lang w:val="en-US" w:eastAsia="zh-CN"/>
                    </w:rPr>
                    <w:t>。</w:t>
                  </w:r>
                </w:p>
              </w:tc>
            </w:tr>
            <w:tr w14:paraId="009A30B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1" w:type="pct"/>
                  <w:tcBorders>
                    <w:tl2br w:val="nil"/>
                    <w:tr2bl w:val="nil"/>
                  </w:tcBorders>
                  <w:noWrap w:val="0"/>
                  <w:vAlign w:val="center"/>
                </w:tcPr>
                <w:p w14:paraId="6BEE1EF1">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cs="Times New Roman"/>
                      <w:b w:val="0"/>
                      <w:bCs w:val="0"/>
                      <w:color w:val="auto"/>
                      <w:lang w:val="en-US" w:eastAsia="zh-CN"/>
                    </w:rPr>
                  </w:pPr>
                </w:p>
              </w:tc>
              <w:tc>
                <w:tcPr>
                  <w:tcW w:w="2465" w:type="pct"/>
                  <w:tcBorders>
                    <w:tl2br w:val="nil"/>
                    <w:tr2bl w:val="nil"/>
                  </w:tcBorders>
                  <w:noWrap w:val="0"/>
                  <w:vAlign w:val="center"/>
                </w:tcPr>
                <w:p w14:paraId="7C0E321F">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cs="Times New Roman"/>
                      <w:b w:val="0"/>
                      <w:bCs w:val="0"/>
                      <w:color w:val="auto"/>
                      <w:lang w:val="en-US" w:eastAsia="zh-CN"/>
                    </w:rPr>
                  </w:pPr>
                  <w:r>
                    <w:rPr>
                      <w:rFonts w:hint="eastAsia" w:ascii="Times New Roman" w:cs="Times New Roman"/>
                      <w:b w:val="0"/>
                      <w:bCs w:val="0"/>
                      <w:color w:val="auto"/>
                      <w:lang w:val="en-US" w:eastAsia="zh-CN"/>
                    </w:rPr>
                    <w:t>环境影响评价文件编制规范，符合相关管理规定和环评技术标准要求。</w:t>
                  </w:r>
                </w:p>
              </w:tc>
              <w:tc>
                <w:tcPr>
                  <w:tcW w:w="2053" w:type="pct"/>
                  <w:tcBorders>
                    <w:tl2br w:val="nil"/>
                    <w:tr2bl w:val="nil"/>
                  </w:tcBorders>
                  <w:noWrap w:val="0"/>
                  <w:vAlign w:val="center"/>
                </w:tcPr>
                <w:p w14:paraId="4C7AF065">
                  <w:pPr>
                    <w:pStyle w:val="1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cs="Times New Roman"/>
                      <w:b w:val="0"/>
                      <w:bCs w:val="0"/>
                      <w:color w:val="auto"/>
                      <w:lang w:val="en-US" w:eastAsia="zh-CN"/>
                    </w:rPr>
                  </w:pPr>
                  <w:r>
                    <w:rPr>
                      <w:rFonts w:hint="default" w:ascii="Times New Roman" w:cs="Times New Roman"/>
                      <w:b w:val="0"/>
                      <w:bCs w:val="0"/>
                      <w:color w:val="auto"/>
                      <w:lang w:val="en-US" w:eastAsia="zh-CN"/>
                    </w:rPr>
                    <w:t>报告表格式基本符合《建设项目环境影响报告表编制技术指南（生态影响类）（试行）》要求，内容较全面，编制基本规范。</w:t>
                  </w:r>
                </w:p>
              </w:tc>
            </w:tr>
          </w:tbl>
          <w:p w14:paraId="339FB448">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default"/>
                <w:b/>
                <w:bCs/>
                <w:color w:val="auto"/>
                <w:lang w:val="en-US" w:eastAsia="zh-CN"/>
              </w:rPr>
            </w:pPr>
          </w:p>
          <w:p w14:paraId="3C93C5F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b/>
                <w:bCs/>
                <w:color w:val="FF0000"/>
                <w:lang w:val="en-US" w:eastAsia="zh-CN"/>
              </w:rPr>
            </w:pPr>
          </w:p>
          <w:p w14:paraId="332A311F">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b/>
                <w:bCs/>
                <w:color w:val="FF0000"/>
                <w:lang w:val="en-US" w:eastAsia="zh-CN"/>
              </w:rPr>
            </w:pPr>
          </w:p>
        </w:tc>
      </w:tr>
    </w:tbl>
    <w:p w14:paraId="5B6F15CF">
      <w:pPr>
        <w:spacing w:line="360" w:lineRule="auto"/>
        <w:outlineLvl w:val="0"/>
        <w:rPr>
          <w:rFonts w:eastAsia="黑体"/>
          <w:color w:val="FF0000"/>
          <w:sz w:val="30"/>
        </w:rPr>
        <w:sectPr>
          <w:footerReference r:id="rId6" w:type="default"/>
          <w:pgSz w:w="11906" w:h="16838"/>
          <w:pgMar w:top="1417" w:right="1531" w:bottom="1417" w:left="1531" w:header="1191" w:footer="1134" w:gutter="0"/>
          <w:pgBorders>
            <w:top w:val="none" w:sz="0" w:space="0"/>
            <w:left w:val="none" w:sz="0" w:space="0"/>
            <w:bottom w:val="none" w:sz="0" w:space="0"/>
            <w:right w:val="none" w:sz="0" w:space="0"/>
          </w:pgBorders>
          <w:pgNumType w:start="1"/>
          <w:cols w:space="720" w:num="1"/>
          <w:docGrid w:linePitch="312" w:charSpace="0"/>
        </w:sectPr>
      </w:pPr>
    </w:p>
    <w:p w14:paraId="1327D7FB">
      <w:pPr>
        <w:keepNext w:val="0"/>
        <w:keepLines w:val="0"/>
        <w:pageBreakBefore w:val="0"/>
        <w:widowControl/>
        <w:kinsoku/>
        <w:wordWrap/>
        <w:overflowPunct/>
        <w:topLinePunct w:val="0"/>
        <w:autoSpaceDE/>
        <w:autoSpaceDN/>
        <w:bidi w:val="0"/>
        <w:adjustRightInd/>
        <w:snapToGrid/>
        <w:spacing w:before="0" w:beforeAutospacing="0" w:after="0" w:afterAutospacing="0"/>
        <w:jc w:val="center"/>
        <w:textAlignment w:val="auto"/>
        <w:outlineLvl w:val="0"/>
        <w:rPr>
          <w:rFonts w:hint="default" w:ascii="黑体" w:hAnsi="黑体" w:eastAsia="黑体"/>
          <w:snapToGrid w:val="0"/>
          <w:color w:val="auto"/>
          <w:sz w:val="30"/>
          <w:szCs w:val="30"/>
          <w:lang w:val="en-US" w:eastAsia="zh-CN"/>
        </w:rPr>
      </w:pPr>
      <w:bookmarkStart w:id="3" w:name="_Toc31817"/>
      <w:bookmarkStart w:id="4" w:name="_Toc454"/>
      <w:r>
        <w:rPr>
          <w:rFonts w:hint="eastAsia" w:ascii="黑体" w:hAnsi="黑体" w:eastAsia="黑体"/>
          <w:snapToGrid w:val="0"/>
          <w:color w:val="auto"/>
          <w:sz w:val="30"/>
          <w:szCs w:val="30"/>
        </w:rPr>
        <w:t>二、建设项目工程分析</w:t>
      </w:r>
      <w:bookmarkEnd w:id="3"/>
      <w:bookmarkEnd w:id="4"/>
    </w:p>
    <w:tbl>
      <w:tblPr>
        <w:tblStyle w:val="9"/>
        <w:tblW w:w="898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45"/>
        <w:gridCol w:w="8139"/>
      </w:tblGrid>
      <w:tr w14:paraId="2F1BD61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845" w:type="dxa"/>
            <w:vAlign w:val="center"/>
          </w:tcPr>
          <w:p w14:paraId="5B6DBAA5">
            <w:pPr>
              <w:adjustRightInd w:val="0"/>
              <w:snapToGrid w:val="0"/>
              <w:spacing w:before="0" w:beforeAutospacing="0" w:after="0" w:afterAutospacing="0"/>
              <w:jc w:val="center"/>
              <w:rPr>
                <w:rFonts w:hint="eastAsia" w:eastAsia="宋体" w:cs="宋体"/>
                <w:color w:val="FF0000"/>
                <w:sz w:val="21"/>
                <w:szCs w:val="21"/>
                <w:lang w:eastAsia="zh-CN"/>
              </w:rPr>
            </w:pPr>
            <w:r>
              <w:rPr>
                <w:rFonts w:hint="eastAsia" w:cs="宋体"/>
                <w:color w:val="auto"/>
                <w:sz w:val="24"/>
                <w:szCs w:val="24"/>
                <w:lang w:eastAsia="zh-CN"/>
              </w:rPr>
              <w:t>地理位置</w:t>
            </w:r>
          </w:p>
        </w:tc>
        <w:tc>
          <w:tcPr>
            <w:tcW w:w="8139" w:type="dxa"/>
            <w:vAlign w:val="top"/>
          </w:tcPr>
          <w:p w14:paraId="22661BA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b/>
                <w:bCs/>
                <w:color w:val="FF0000"/>
                <w:sz w:val="24"/>
                <w:szCs w:val="24"/>
                <w:lang w:val="en-US" w:eastAsia="zh-CN"/>
              </w:rPr>
            </w:pPr>
            <w:r>
              <w:rPr>
                <w:rFonts w:hint="eastAsia" w:ascii="宋体" w:hAnsi="宋体" w:cs="宋体"/>
                <w:b w:val="0"/>
                <w:bCs w:val="0"/>
                <w:color w:val="auto"/>
                <w:sz w:val="24"/>
                <w:szCs w:val="24"/>
                <w:lang w:val="en-US" w:eastAsia="zh-CN"/>
              </w:rPr>
              <w:t>本项目位于岳阳楼区洛王街道、金鹗山街道、枫桥湖街道、王家河街道，对以上街道内的10个内涝点进行排渍改造</w:t>
            </w:r>
            <w:r>
              <w:rPr>
                <w:rFonts w:hint="eastAsia" w:ascii="宋体" w:hAnsi="宋体" w:eastAsia="宋体" w:cs="宋体"/>
                <w:b w:val="0"/>
                <w:bCs w:val="0"/>
                <w:color w:val="auto"/>
                <w:sz w:val="24"/>
                <w:szCs w:val="24"/>
                <w:lang w:val="en-US" w:eastAsia="zh-CN"/>
              </w:rPr>
              <w:t>。</w:t>
            </w:r>
            <w:r>
              <w:rPr>
                <w:rFonts w:hint="eastAsia" w:ascii="宋体" w:hAnsi="宋体" w:cs="宋体"/>
                <w:b w:val="0"/>
                <w:bCs w:val="0"/>
                <w:color w:val="auto"/>
                <w:sz w:val="24"/>
                <w:szCs w:val="24"/>
                <w:lang w:val="en-US" w:eastAsia="zh-CN"/>
              </w:rPr>
              <w:t>地理位置见附图1。</w:t>
            </w:r>
          </w:p>
        </w:tc>
      </w:tr>
      <w:tr w14:paraId="41312BF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845" w:type="dxa"/>
            <w:vAlign w:val="center"/>
          </w:tcPr>
          <w:p w14:paraId="2F15BF15">
            <w:pPr>
              <w:adjustRightInd w:val="0"/>
              <w:snapToGrid w:val="0"/>
              <w:spacing w:before="0" w:beforeAutospacing="0" w:after="0" w:afterAutospacing="0"/>
              <w:jc w:val="center"/>
              <w:rPr>
                <w:rFonts w:hint="eastAsia" w:eastAsia="宋体" w:cs="宋体"/>
                <w:color w:val="FF0000"/>
                <w:sz w:val="24"/>
                <w:szCs w:val="24"/>
                <w:lang w:eastAsia="zh-CN"/>
              </w:rPr>
            </w:pPr>
            <w:r>
              <w:rPr>
                <w:rFonts w:hint="eastAsia" w:cs="宋体"/>
                <w:color w:val="auto"/>
                <w:sz w:val="24"/>
                <w:szCs w:val="24"/>
                <w:lang w:eastAsia="zh-CN"/>
              </w:rPr>
              <w:t>项目组成及规模</w:t>
            </w:r>
          </w:p>
        </w:tc>
        <w:tc>
          <w:tcPr>
            <w:tcW w:w="8139" w:type="dxa"/>
            <w:vAlign w:val="top"/>
          </w:tcPr>
          <w:p w14:paraId="05792F98">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default" w:ascii="Times New Roman" w:hAnsi="Times New Roman" w:cs="Times New Roman"/>
                <w:b/>
                <w:bCs w:val="0"/>
                <w:color w:val="auto"/>
                <w:sz w:val="24"/>
                <w:szCs w:val="24"/>
                <w:lang w:val="en-US" w:eastAsia="zh-CN"/>
              </w:rPr>
            </w:pPr>
            <w:r>
              <w:rPr>
                <w:rFonts w:hint="eastAsia"/>
                <w:b/>
                <w:bCs/>
                <w:color w:val="auto"/>
                <w:sz w:val="24"/>
                <w:szCs w:val="24"/>
              </w:rPr>
              <w:t>【</w:t>
            </w:r>
            <w:r>
              <w:rPr>
                <w:rFonts w:hint="eastAsia"/>
                <w:b/>
                <w:bCs/>
                <w:color w:val="auto"/>
                <w:sz w:val="24"/>
                <w:szCs w:val="24"/>
                <w:lang w:eastAsia="zh-CN"/>
              </w:rPr>
              <w:t>项目由来</w:t>
            </w:r>
            <w:r>
              <w:rPr>
                <w:rFonts w:hint="eastAsia"/>
                <w:b/>
                <w:bCs/>
                <w:color w:val="auto"/>
                <w:sz w:val="24"/>
                <w:szCs w:val="24"/>
              </w:rPr>
              <w:t>】</w:t>
            </w:r>
          </w:p>
          <w:p w14:paraId="2D75574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宋体" w:hAnsi="宋体" w:eastAsia="宋体" w:cs="宋体"/>
                <w:b w:val="0"/>
                <w:bCs w:val="0"/>
                <w:color w:val="auto"/>
                <w:sz w:val="24"/>
                <w:szCs w:val="24"/>
                <w:lang w:val="en-US" w:eastAsia="zh-CN"/>
              </w:rPr>
            </w:pPr>
            <w:r>
              <w:rPr>
                <w:rFonts w:hint="eastAsia" w:ascii="宋体" w:hAnsi="宋体" w:cs="宋体"/>
                <w:color w:val="auto"/>
                <w:sz w:val="24"/>
                <w:szCs w:val="24"/>
              </w:rPr>
              <w:t>由于地理环境特殊，历史上岳阳市涝灾频发。经过多年来建设，目前已形成较为系统的排涝体系，但随着城市建设扩张，城市排涝设施建设未能跟上扩展的步伐，城市排涝压力越来越大。2019年5月25日晚间至26日早晨，岳阳城区最大降雨量达到189.1毫米，五里牌街道办事处下王组、枫桥湖街道办事处、大屋湾社区等部分地</w:t>
            </w:r>
            <w:r>
              <w:rPr>
                <w:rFonts w:hint="eastAsia" w:ascii="宋体" w:hAnsi="宋体" w:cs="宋体"/>
                <w:color w:val="auto"/>
                <w:sz w:val="24"/>
                <w:szCs w:val="24"/>
                <w:lang w:eastAsia="zh-CN"/>
              </w:rPr>
              <w:t>段出</w:t>
            </w:r>
            <w:r>
              <w:rPr>
                <w:rFonts w:hint="eastAsia" w:ascii="宋体" w:hAnsi="宋体" w:cs="宋体"/>
                <w:color w:val="auto"/>
                <w:sz w:val="24"/>
                <w:szCs w:val="24"/>
              </w:rPr>
              <w:t>现内涝。岳阳楼区渍水问题严重影响居民群众生命财产安全，亟待治理。</w:t>
            </w:r>
          </w:p>
          <w:p w14:paraId="1C7E9A6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eastAsia="zh-CN"/>
              </w:rPr>
            </w:pPr>
            <w:r>
              <w:rPr>
                <w:rFonts w:hint="eastAsia" w:ascii="宋体" w:hAnsi="宋体" w:cs="宋体"/>
                <w:color w:val="auto"/>
                <w:sz w:val="24"/>
                <w:szCs w:val="24"/>
                <w:lang w:eastAsia="zh-CN"/>
              </w:rPr>
              <w:t>为改善岳阳楼区排水系统，解决城市内涝及岳阳楼区渍水问题，有效地防止疾病传染、降低发病率、保障岳阳楼区居民的身体健康，</w:t>
            </w:r>
            <w:r>
              <w:rPr>
                <w:rFonts w:hint="eastAsia" w:ascii="宋体" w:hAnsi="宋体" w:cs="宋体"/>
                <w:color w:val="auto"/>
                <w:sz w:val="24"/>
                <w:szCs w:val="24"/>
                <w:lang w:val="en-US" w:eastAsia="zh-CN"/>
              </w:rPr>
              <w:t>岳阳楼区政府</w:t>
            </w:r>
            <w:r>
              <w:rPr>
                <w:rFonts w:hint="eastAsia" w:ascii="宋体" w:hAnsi="宋体" w:cs="宋体"/>
                <w:color w:val="auto"/>
                <w:sz w:val="24"/>
                <w:szCs w:val="24"/>
                <w:lang w:eastAsia="zh-CN"/>
              </w:rPr>
              <w:t>同意实施</w:t>
            </w:r>
            <w:r>
              <w:rPr>
                <w:rFonts w:hint="eastAsia" w:ascii="宋体" w:hAnsi="宋体" w:cs="宋体"/>
                <w:color w:val="auto"/>
                <w:sz w:val="24"/>
                <w:szCs w:val="24"/>
                <w:highlight w:val="green"/>
                <w:lang w:eastAsia="zh-CN"/>
              </w:rPr>
              <w:t>岳阳楼区城市</w:t>
            </w:r>
            <w:r>
              <w:rPr>
                <w:rFonts w:hint="eastAsia" w:ascii="宋体" w:hAnsi="宋体" w:cs="宋体"/>
                <w:color w:val="auto"/>
                <w:sz w:val="24"/>
                <w:szCs w:val="24"/>
                <w:highlight w:val="green"/>
                <w:lang w:val="en-US" w:eastAsia="zh-CN"/>
              </w:rPr>
              <w:t>排</w:t>
            </w:r>
            <w:r>
              <w:rPr>
                <w:rFonts w:hint="eastAsia" w:ascii="宋体" w:hAnsi="宋体" w:cs="宋体"/>
                <w:color w:val="auto"/>
                <w:sz w:val="24"/>
                <w:szCs w:val="24"/>
                <w:highlight w:val="green"/>
                <w:lang w:eastAsia="zh-CN"/>
              </w:rPr>
              <w:t>水防洪排涝建设项目</w:t>
            </w:r>
            <w:r>
              <w:rPr>
                <w:rFonts w:hint="eastAsia" w:ascii="宋体" w:hAnsi="宋体" w:cs="宋体"/>
                <w:color w:val="auto"/>
                <w:sz w:val="24"/>
                <w:szCs w:val="24"/>
                <w:lang w:eastAsia="zh-CN"/>
              </w:rPr>
              <w:t>。</w:t>
            </w:r>
          </w:p>
          <w:p w14:paraId="6FC6646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color w:val="auto"/>
                <w:sz w:val="24"/>
                <w:szCs w:val="24"/>
                <w:highlight w:val="green"/>
                <w:lang w:val="en-US" w:eastAsia="zh-CN"/>
              </w:rPr>
            </w:pPr>
            <w:r>
              <w:rPr>
                <w:rFonts w:hint="eastAsia" w:ascii="宋体" w:hAnsi="宋体" w:cs="宋体"/>
                <w:color w:val="auto"/>
                <w:sz w:val="24"/>
                <w:szCs w:val="24"/>
                <w:lang w:val="en-US" w:eastAsia="zh-CN"/>
              </w:rPr>
              <w:t>2021年9月，岳阳楼区发改委以“岳楼发改审【2021】194号”对《岳阳楼区城市排水防洪排涝建设项目建设可行性报告》进行了立项批复，2024年以“岳楼发改审【2024】122号”同意对建设内容进行调整（附件3）。</w:t>
            </w:r>
            <w:r>
              <w:rPr>
                <w:rFonts w:hint="eastAsia" w:ascii="宋体" w:hAnsi="宋体" w:cs="宋体"/>
                <w:color w:val="auto"/>
                <w:sz w:val="24"/>
                <w:szCs w:val="24"/>
                <w:highlight w:val="green"/>
                <w:lang w:val="en-US" w:eastAsia="zh-CN"/>
              </w:rPr>
              <w:t>调整后的建设内容为：对岳阳楼区洛王街道、金鹗山街道、枫桥湖街道、王家河街道等4个街道内19个内涝点进行排渍改造，建设内容包括雨污水管道建设、供水管道建设及郭镇乡水厂提质改造等，主要建设规模如下：（1）新建雨水管道35.191km，管径N300-DN2600，提质改造雨水边沟13.592km；（2）新建污水管道39.386km，管径DN300-DN500，配套新建接户管道75.548km，管径DN100/DN200；（3）新建供水管道124.065km，管径DN160-DN500，配套对郭镇乡水厂提质升级，建成后供水能力8万立方米/天。</w:t>
            </w:r>
          </w:p>
          <w:p w14:paraId="3CF897E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color w:val="auto"/>
                <w:sz w:val="24"/>
                <w:szCs w:val="24"/>
                <w:lang w:val="en-US" w:eastAsia="zh-CN"/>
              </w:rPr>
            </w:pPr>
            <w:r>
              <w:rPr>
                <w:rFonts w:hint="eastAsia" w:ascii="宋体" w:hAnsi="宋体" w:cs="宋体"/>
                <w:color w:val="auto"/>
                <w:sz w:val="24"/>
                <w:szCs w:val="24"/>
                <w:lang w:val="en-US" w:eastAsia="zh-CN"/>
              </w:rPr>
              <w:t>因立项上工程内容较多，投资资金量大，涉及范围广，短期内难以实施，同时考虑到部分区域的防洪排涝工程时间紧迫，因此拟将工程分步实施，2025年1月，委托中盛弘宇建设科技有限公司编制了《</w:t>
            </w:r>
            <w:r>
              <w:rPr>
                <w:rFonts w:hint="eastAsia" w:ascii="宋体" w:hAnsi="宋体" w:cs="宋体"/>
                <w:color w:val="auto"/>
                <w:sz w:val="24"/>
                <w:szCs w:val="24"/>
                <w:highlight w:val="green"/>
                <w:lang w:eastAsia="zh-CN"/>
              </w:rPr>
              <w:t>岳阳楼区城市</w:t>
            </w:r>
            <w:r>
              <w:rPr>
                <w:rFonts w:hint="eastAsia" w:ascii="宋体" w:hAnsi="宋体" w:cs="宋体"/>
                <w:color w:val="auto"/>
                <w:sz w:val="24"/>
                <w:szCs w:val="24"/>
                <w:highlight w:val="green"/>
                <w:lang w:val="en-US" w:eastAsia="zh-CN"/>
              </w:rPr>
              <w:t>排</w:t>
            </w:r>
            <w:r>
              <w:rPr>
                <w:rFonts w:hint="eastAsia" w:ascii="宋体" w:hAnsi="宋体" w:cs="宋体"/>
                <w:color w:val="auto"/>
                <w:sz w:val="24"/>
                <w:szCs w:val="24"/>
                <w:highlight w:val="green"/>
                <w:lang w:eastAsia="zh-CN"/>
              </w:rPr>
              <w:t>水防洪排涝建设项目</w:t>
            </w:r>
            <w:r>
              <w:rPr>
                <w:rFonts w:hint="eastAsia" w:ascii="宋体" w:hAnsi="宋体" w:cs="宋体"/>
                <w:color w:val="auto"/>
                <w:sz w:val="24"/>
                <w:szCs w:val="24"/>
                <w:lang w:eastAsia="zh-CN"/>
              </w:rPr>
              <w:t>（一期）</w:t>
            </w:r>
            <w:r>
              <w:rPr>
                <w:rFonts w:hint="eastAsia" w:ascii="宋体" w:hAnsi="宋体" w:cs="宋体"/>
                <w:color w:val="auto"/>
                <w:sz w:val="24"/>
                <w:szCs w:val="24"/>
                <w:lang w:val="en-US" w:eastAsia="zh-CN"/>
              </w:rPr>
              <w:t>设计方案》，对该工程实施分期建设，先实施一期工程，具体为：</w:t>
            </w:r>
          </w:p>
          <w:p w14:paraId="284E1A9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highlight w:val="green"/>
                <w:lang w:val="en-US" w:eastAsia="zh-CN"/>
              </w:rPr>
            </w:pPr>
            <w:r>
              <w:rPr>
                <w:rFonts w:hint="eastAsia" w:ascii="宋体" w:hAnsi="宋体" w:cs="宋体"/>
                <w:color w:val="auto"/>
                <w:sz w:val="24"/>
                <w:szCs w:val="24"/>
                <w:highlight w:val="green"/>
                <w:lang w:val="en-US" w:eastAsia="zh-CN"/>
              </w:rPr>
              <w:t>对岳阳楼区低洼易涝区域进行排渍改造，改造积涝点10处；新建DN2600雨水管道1686米，新建排水管沟1110米，排水管沟清淤1350米。新建大于DN100给水管道41880米，小于DN100给水管道57600米。</w:t>
            </w:r>
          </w:p>
          <w:p w14:paraId="6F951BF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岳阳市住房和城乡建设局以（岳建初审</w:t>
            </w:r>
            <w:r>
              <w:rPr>
                <w:rFonts w:hint="eastAsia" w:ascii="宋体" w:hAnsi="宋体" w:eastAsia="宋体" w:cs="宋体"/>
                <w:color w:val="auto"/>
                <w:sz w:val="24"/>
                <w:szCs w:val="24"/>
                <w:lang w:val="en-US" w:eastAsia="zh-CN"/>
              </w:rPr>
              <w:t>〔2025〕10号</w:t>
            </w:r>
            <w:r>
              <w:rPr>
                <w:rFonts w:hint="eastAsia" w:ascii="宋体" w:hAnsi="宋体" w:cs="宋体"/>
                <w:color w:val="auto"/>
                <w:sz w:val="24"/>
                <w:szCs w:val="24"/>
                <w:lang w:val="en-US" w:eastAsia="zh-CN"/>
              </w:rPr>
              <w:t>）对该“（一期）设计方案”进行批复，同意分期实施；2025年2月27日，岳阳楼区政府召开区发改委、区水利局、区住建局、区环保局等多部门参加的会议，以会议纪要（2025年第47次）的方式，同意该“（一期）设计方案”</w:t>
            </w:r>
            <w:r>
              <w:rPr>
                <w:rFonts w:hint="eastAsia" w:ascii="宋体" w:hAnsi="宋体" w:cs="宋体"/>
                <w:color w:val="FF0000"/>
                <w:sz w:val="24"/>
                <w:szCs w:val="24"/>
                <w:lang w:val="en-US" w:eastAsia="zh-CN"/>
              </w:rPr>
              <w:t>（附件3）</w:t>
            </w:r>
            <w:r>
              <w:rPr>
                <w:rFonts w:hint="eastAsia" w:ascii="宋体" w:hAnsi="宋体" w:cs="宋体"/>
                <w:color w:val="auto"/>
                <w:sz w:val="24"/>
                <w:szCs w:val="24"/>
                <w:lang w:val="en-US" w:eastAsia="zh-CN"/>
              </w:rPr>
              <w:t>。</w:t>
            </w:r>
          </w:p>
          <w:p w14:paraId="4993828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color w:val="auto"/>
                <w:sz w:val="24"/>
                <w:szCs w:val="24"/>
                <w:highlight w:val="green"/>
                <w:lang w:val="en-US" w:eastAsia="zh-CN"/>
              </w:rPr>
            </w:pPr>
            <w:r>
              <w:rPr>
                <w:rFonts w:hint="eastAsia" w:ascii="宋体" w:hAnsi="宋体" w:cs="宋体"/>
                <w:color w:val="auto"/>
                <w:sz w:val="24"/>
                <w:szCs w:val="24"/>
                <w:highlight w:val="green"/>
                <w:lang w:val="en-US" w:eastAsia="zh-CN"/>
              </w:rPr>
              <w:t>原立项文件中的其它工程内容，待后续再实施，到时再另行办理环评手续，不在本次环评范围。</w:t>
            </w:r>
          </w:p>
          <w:p w14:paraId="7F00C7D1">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根据</w:t>
            </w:r>
            <w:r>
              <w:rPr>
                <w:rFonts w:hint="eastAsia" w:ascii="宋体" w:hAnsi="宋体" w:cs="宋体"/>
                <w:b w:val="0"/>
                <w:bCs w:val="0"/>
                <w:color w:val="auto"/>
                <w:sz w:val="24"/>
                <w:szCs w:val="24"/>
                <w:lang w:val="en-US" w:eastAsia="zh-CN"/>
              </w:rPr>
              <w:t>项目一期建设内容，结合</w:t>
            </w:r>
            <w:r>
              <w:rPr>
                <w:rFonts w:hint="eastAsia" w:ascii="宋体" w:hAnsi="宋体" w:eastAsia="宋体" w:cs="宋体"/>
                <w:b w:val="0"/>
                <w:bCs w:val="0"/>
                <w:color w:val="auto"/>
                <w:sz w:val="24"/>
                <w:szCs w:val="24"/>
                <w:lang w:val="en-US" w:eastAsia="zh-CN"/>
              </w:rPr>
              <w:t>《建设项目环境影响评价分类管理名录（2021年版）》，</w:t>
            </w:r>
            <w:r>
              <w:rPr>
                <w:rFonts w:hint="eastAsia" w:ascii="宋体" w:hAnsi="宋体" w:cs="宋体"/>
                <w:b w:val="0"/>
                <w:bCs w:val="0"/>
                <w:color w:val="auto"/>
                <w:sz w:val="24"/>
                <w:szCs w:val="24"/>
                <w:lang w:val="en-US" w:eastAsia="zh-CN"/>
              </w:rPr>
              <w:t>项目环评类别分析如下：</w:t>
            </w:r>
          </w:p>
          <w:p w14:paraId="2A64EC04">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（1）</w:t>
            </w:r>
            <w:r>
              <w:rPr>
                <w:rFonts w:hint="eastAsia" w:ascii="宋体" w:hAnsi="宋体" w:eastAsia="宋体" w:cs="宋体"/>
                <w:b w:val="0"/>
                <w:bCs w:val="0"/>
                <w:color w:val="auto"/>
                <w:sz w:val="24"/>
                <w:szCs w:val="24"/>
                <w:lang w:val="en-US" w:eastAsia="zh-CN"/>
              </w:rPr>
              <w:t>“五十一水利”</w:t>
            </w:r>
            <w:r>
              <w:rPr>
                <w:rFonts w:hint="eastAsia" w:ascii="宋体" w:hAnsi="宋体" w:cs="宋体"/>
                <w:b w:val="0"/>
                <w:bCs w:val="0"/>
                <w:color w:val="auto"/>
                <w:sz w:val="24"/>
                <w:szCs w:val="24"/>
                <w:lang w:val="en-US" w:eastAsia="zh-CN"/>
              </w:rPr>
              <w:t>的</w:t>
            </w:r>
            <w:r>
              <w:rPr>
                <w:rFonts w:hint="eastAsia" w:ascii="宋体" w:hAnsi="宋体" w:eastAsia="宋体" w:cs="宋体"/>
                <w:b w:val="0"/>
                <w:bCs w:val="0"/>
                <w:color w:val="auto"/>
                <w:sz w:val="24"/>
                <w:szCs w:val="24"/>
                <w:lang w:val="en-US" w:eastAsia="zh-CN"/>
              </w:rPr>
              <w:t>“</w:t>
            </w:r>
            <w:r>
              <w:rPr>
                <w:rFonts w:hint="eastAsia" w:ascii="宋体" w:hAnsi="宋体" w:cs="宋体"/>
                <w:b w:val="0"/>
                <w:bCs w:val="0"/>
                <w:color w:val="auto"/>
                <w:sz w:val="24"/>
                <w:szCs w:val="24"/>
                <w:lang w:val="en-US" w:eastAsia="zh-CN"/>
              </w:rPr>
              <w:t>防洪除涝</w:t>
            </w:r>
            <w:r>
              <w:rPr>
                <w:rFonts w:hint="eastAsia" w:ascii="宋体" w:hAnsi="宋体" w:eastAsia="宋体" w:cs="宋体"/>
                <w:b w:val="0"/>
                <w:bCs w:val="0"/>
                <w:color w:val="auto"/>
                <w:sz w:val="24"/>
                <w:szCs w:val="24"/>
                <w:lang w:val="en-US" w:eastAsia="zh-CN"/>
              </w:rPr>
              <w:t>工程”中</w:t>
            </w:r>
            <w:r>
              <w:rPr>
                <w:rFonts w:hint="eastAsia" w:ascii="宋体" w:hAnsi="宋体" w:cs="宋体"/>
                <w:b w:val="0"/>
                <w:bCs w:val="0"/>
                <w:color w:val="auto"/>
                <w:sz w:val="24"/>
                <w:szCs w:val="24"/>
                <w:lang w:val="en-US" w:eastAsia="zh-CN"/>
              </w:rPr>
              <w:t>“新建大中型应编制报告书”、“其他（小型沟渠的护坡除外；城镇排涝河流水闸、排涝泵站除外）应编制报告表”。</w:t>
            </w:r>
          </w:p>
          <w:p w14:paraId="12E69354">
            <w:pPr>
              <w:keepNext w:val="0"/>
              <w:keepLines w:val="0"/>
              <w:pageBreakBefore w:val="0"/>
              <w:widowControl w:val="0"/>
              <w:kinsoku/>
              <w:wordWrap/>
              <w:overflowPunct/>
              <w:topLinePunct w:val="0"/>
              <w:bidi w:val="0"/>
              <w:adjustRightInd w:val="0"/>
              <w:spacing w:line="360" w:lineRule="auto"/>
              <w:ind w:firstLine="480" w:firstLineChars="200"/>
              <w:jc w:val="left"/>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本项目属于</w:t>
            </w:r>
            <w:r>
              <w:rPr>
                <w:rFonts w:hint="eastAsia" w:ascii="宋体" w:hAnsi="宋体" w:cs="宋体"/>
                <w:b w:val="0"/>
                <w:bCs w:val="0"/>
                <w:color w:val="auto"/>
                <w:sz w:val="24"/>
                <w:szCs w:val="24"/>
                <w:lang w:val="en-US" w:eastAsia="zh-CN"/>
              </w:rPr>
              <w:t>防洪除涝</w:t>
            </w:r>
            <w:r>
              <w:rPr>
                <w:rFonts w:hint="eastAsia" w:ascii="宋体" w:hAnsi="宋体" w:eastAsia="宋体" w:cs="宋体"/>
                <w:b w:val="0"/>
                <w:bCs w:val="0"/>
                <w:color w:val="auto"/>
                <w:sz w:val="24"/>
                <w:szCs w:val="24"/>
                <w:lang w:val="en-US" w:eastAsia="zh-CN"/>
              </w:rPr>
              <w:t>工程</w:t>
            </w:r>
            <w:r>
              <w:rPr>
                <w:rFonts w:hint="eastAsia" w:ascii="宋体" w:hAnsi="宋体" w:cs="宋体"/>
                <w:b w:val="0"/>
                <w:bCs w:val="0"/>
                <w:color w:val="auto"/>
                <w:sz w:val="24"/>
                <w:szCs w:val="24"/>
                <w:lang w:val="en-US" w:eastAsia="zh-CN"/>
              </w:rPr>
              <w:t>中的改造项目，</w:t>
            </w:r>
            <w:r>
              <w:rPr>
                <w:rFonts w:hint="eastAsia" w:ascii="宋体" w:hAnsi="宋体" w:eastAsia="宋体" w:cs="宋体"/>
                <w:b w:val="0"/>
                <w:bCs w:val="0"/>
                <w:color w:val="auto"/>
                <w:sz w:val="24"/>
                <w:szCs w:val="24"/>
                <w:lang w:val="en-US" w:eastAsia="zh-CN"/>
              </w:rPr>
              <w:t>因此本项目</w:t>
            </w:r>
            <w:r>
              <w:rPr>
                <w:rFonts w:hint="eastAsia" w:ascii="宋体" w:hAnsi="宋体" w:cs="宋体"/>
                <w:b w:val="0"/>
                <w:bCs w:val="0"/>
                <w:color w:val="auto"/>
                <w:sz w:val="24"/>
                <w:szCs w:val="24"/>
                <w:lang w:val="en-US" w:eastAsia="zh-CN"/>
              </w:rPr>
              <w:t>为改造，</w:t>
            </w:r>
            <w:r>
              <w:rPr>
                <w:rFonts w:hint="eastAsia" w:ascii="宋体" w:hAnsi="宋体" w:eastAsia="宋体" w:cs="宋体"/>
                <w:b w:val="0"/>
                <w:bCs w:val="0"/>
                <w:color w:val="auto"/>
                <w:sz w:val="24"/>
                <w:szCs w:val="24"/>
                <w:lang w:val="en-US" w:eastAsia="zh-CN"/>
              </w:rPr>
              <w:t>按照“其他”</w:t>
            </w:r>
            <w:r>
              <w:rPr>
                <w:rFonts w:hint="eastAsia" w:ascii="宋体" w:hAnsi="宋体" w:cs="宋体"/>
                <w:b w:val="0"/>
                <w:bCs w:val="0"/>
                <w:color w:val="auto"/>
                <w:sz w:val="24"/>
                <w:szCs w:val="24"/>
                <w:lang w:val="en-US" w:eastAsia="zh-CN"/>
              </w:rPr>
              <w:t>，</w:t>
            </w:r>
            <w:r>
              <w:rPr>
                <w:rFonts w:hint="eastAsia" w:ascii="宋体" w:hAnsi="宋体" w:eastAsia="宋体" w:cs="宋体"/>
                <w:b w:val="0"/>
                <w:bCs w:val="0"/>
                <w:color w:val="auto"/>
                <w:sz w:val="24"/>
                <w:szCs w:val="24"/>
                <w:lang w:val="en-US" w:eastAsia="zh-CN"/>
              </w:rPr>
              <w:t>要编制环评报告表。</w:t>
            </w:r>
          </w:p>
          <w:p w14:paraId="66E373F8">
            <w:pPr>
              <w:keepNext w:val="0"/>
              <w:keepLines w:val="0"/>
              <w:pageBreakBefore w:val="0"/>
              <w:widowControl w:val="0"/>
              <w:kinsoku/>
              <w:wordWrap/>
              <w:overflowPunct/>
              <w:topLinePunct w:val="0"/>
              <w:bidi w:val="0"/>
              <w:adjustRightInd w:val="0"/>
              <w:spacing w:line="360" w:lineRule="auto"/>
              <w:ind w:firstLine="480" w:firstLineChars="200"/>
              <w:jc w:val="left"/>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（2）</w:t>
            </w:r>
            <w:r>
              <w:rPr>
                <w:rFonts w:hint="eastAsia" w:ascii="宋体" w:hAnsi="宋体" w:eastAsia="宋体" w:cs="宋体"/>
                <w:b w:val="0"/>
                <w:bCs w:val="0"/>
                <w:color w:val="auto"/>
                <w:sz w:val="24"/>
                <w:szCs w:val="24"/>
                <w:lang w:val="en-US" w:eastAsia="zh-CN"/>
              </w:rPr>
              <w:t>“五十</w:t>
            </w:r>
            <w:r>
              <w:rPr>
                <w:rFonts w:hint="eastAsia" w:ascii="宋体" w:hAnsi="宋体" w:cs="宋体"/>
                <w:b w:val="0"/>
                <w:bCs w:val="0"/>
                <w:color w:val="auto"/>
                <w:sz w:val="24"/>
                <w:szCs w:val="24"/>
                <w:lang w:val="en-US" w:eastAsia="zh-CN"/>
              </w:rPr>
              <w:t>二、交通运输业、管道运输业</w:t>
            </w:r>
            <w:r>
              <w:rPr>
                <w:rFonts w:hint="eastAsia" w:ascii="宋体" w:hAnsi="宋体" w:eastAsia="宋体" w:cs="宋体"/>
                <w:b w:val="0"/>
                <w:bCs w:val="0"/>
                <w:color w:val="auto"/>
                <w:sz w:val="24"/>
                <w:szCs w:val="24"/>
                <w:lang w:val="en-US" w:eastAsia="zh-CN"/>
              </w:rPr>
              <w:t>”</w:t>
            </w:r>
            <w:r>
              <w:rPr>
                <w:rFonts w:hint="eastAsia" w:ascii="宋体" w:hAnsi="宋体" w:cs="宋体"/>
                <w:b w:val="0"/>
                <w:bCs w:val="0"/>
                <w:color w:val="auto"/>
                <w:sz w:val="24"/>
                <w:szCs w:val="24"/>
                <w:lang w:val="en-US" w:eastAsia="zh-CN"/>
              </w:rPr>
              <w:t>的</w:t>
            </w:r>
            <w:r>
              <w:rPr>
                <w:rFonts w:hint="eastAsia" w:ascii="宋体" w:hAnsi="宋体" w:eastAsia="宋体" w:cs="宋体"/>
                <w:b w:val="0"/>
                <w:bCs w:val="0"/>
                <w:color w:val="auto"/>
                <w:sz w:val="24"/>
                <w:szCs w:val="24"/>
                <w:lang w:val="en-US" w:eastAsia="zh-CN"/>
              </w:rPr>
              <w:t>“</w:t>
            </w:r>
            <w:r>
              <w:rPr>
                <w:rFonts w:hint="eastAsia" w:ascii="宋体" w:hAnsi="宋体" w:cs="宋体"/>
                <w:b w:val="0"/>
                <w:bCs w:val="0"/>
                <w:color w:val="auto"/>
                <w:sz w:val="24"/>
                <w:szCs w:val="24"/>
                <w:lang w:val="en-US" w:eastAsia="zh-CN"/>
              </w:rPr>
              <w:t>城市（镇）管网及管廊建设（不含给水管道；不含光纤；不含1.6兆帕及以下的天然气管道）</w:t>
            </w:r>
            <w:r>
              <w:rPr>
                <w:rFonts w:hint="eastAsia" w:ascii="宋体" w:hAnsi="宋体" w:eastAsia="宋体" w:cs="宋体"/>
                <w:b w:val="0"/>
                <w:bCs w:val="0"/>
                <w:color w:val="auto"/>
                <w:sz w:val="24"/>
                <w:szCs w:val="24"/>
                <w:lang w:val="en-US" w:eastAsia="zh-CN"/>
              </w:rPr>
              <w:t>”中</w:t>
            </w:r>
            <w:r>
              <w:rPr>
                <w:rFonts w:hint="eastAsia" w:ascii="宋体" w:hAnsi="宋体" w:cs="宋体"/>
                <w:b w:val="0"/>
                <w:bCs w:val="0"/>
                <w:color w:val="auto"/>
                <w:sz w:val="24"/>
                <w:szCs w:val="24"/>
                <w:lang w:val="en-US" w:eastAsia="zh-CN"/>
              </w:rPr>
              <w:t>“新建涉及环境敏感区的应编制报告表”，“其他”编制登记表。本项目为改造且不涉及相关敏感区。因此，</w:t>
            </w:r>
            <w:r>
              <w:rPr>
                <w:rFonts w:hint="eastAsia" w:ascii="宋体" w:hAnsi="宋体" w:eastAsia="宋体" w:cs="宋体"/>
                <w:b w:val="0"/>
                <w:bCs w:val="0"/>
                <w:color w:val="auto"/>
                <w:sz w:val="24"/>
                <w:szCs w:val="24"/>
                <w:lang w:val="en-US" w:eastAsia="zh-CN"/>
              </w:rPr>
              <w:t>要编制环评</w:t>
            </w:r>
            <w:r>
              <w:rPr>
                <w:rFonts w:hint="eastAsia" w:ascii="宋体" w:hAnsi="宋体" w:cs="宋体"/>
                <w:b w:val="0"/>
                <w:bCs w:val="0"/>
                <w:color w:val="auto"/>
                <w:sz w:val="24"/>
                <w:szCs w:val="24"/>
                <w:lang w:val="en-US" w:eastAsia="zh-CN"/>
              </w:rPr>
              <w:t>登记</w:t>
            </w:r>
            <w:r>
              <w:rPr>
                <w:rFonts w:hint="eastAsia" w:ascii="宋体" w:hAnsi="宋体" w:eastAsia="宋体" w:cs="宋体"/>
                <w:b w:val="0"/>
                <w:bCs w:val="0"/>
                <w:color w:val="auto"/>
                <w:sz w:val="24"/>
                <w:szCs w:val="24"/>
                <w:lang w:val="en-US" w:eastAsia="zh-CN"/>
              </w:rPr>
              <w:t>表</w:t>
            </w:r>
            <w:r>
              <w:rPr>
                <w:rFonts w:hint="eastAsia" w:ascii="宋体" w:hAnsi="宋体" w:cs="宋体"/>
                <w:b w:val="0"/>
                <w:bCs w:val="0"/>
                <w:color w:val="auto"/>
                <w:sz w:val="24"/>
                <w:szCs w:val="24"/>
                <w:lang w:val="en-US" w:eastAsia="zh-CN"/>
              </w:rPr>
              <w:t>。</w:t>
            </w:r>
          </w:p>
          <w:p w14:paraId="641D0E88">
            <w:pPr>
              <w:keepNext w:val="0"/>
              <w:keepLines w:val="0"/>
              <w:pageBreakBefore w:val="0"/>
              <w:widowControl w:val="0"/>
              <w:kinsoku/>
              <w:wordWrap/>
              <w:overflowPunct/>
              <w:topLinePunct w:val="0"/>
              <w:bidi w:val="0"/>
              <w:adjustRightInd w:val="0"/>
              <w:spacing w:line="360" w:lineRule="auto"/>
              <w:ind w:firstLine="480" w:firstLineChars="200"/>
              <w:jc w:val="left"/>
              <w:rPr>
                <w:rFonts w:hint="default" w:ascii="宋体" w:hAnsi="宋体" w:eastAsia="宋体" w:cs="宋体"/>
                <w:b w:val="0"/>
                <w:bCs w:val="0"/>
                <w:color w:val="FF0000"/>
                <w:sz w:val="24"/>
                <w:szCs w:val="24"/>
                <w:lang w:val="en-US" w:eastAsia="zh-CN"/>
              </w:rPr>
            </w:pPr>
            <w:r>
              <w:rPr>
                <w:rFonts w:hint="eastAsia" w:ascii="宋体" w:hAnsi="宋体" w:cs="宋体"/>
                <w:b w:val="0"/>
                <w:bCs w:val="0"/>
                <w:color w:val="auto"/>
                <w:sz w:val="24"/>
                <w:szCs w:val="24"/>
                <w:lang w:val="en-US" w:eastAsia="zh-CN"/>
              </w:rPr>
              <w:t>以上涉及名录中多个类别，按照单项等级最高的确定，因此本项目要编写环评报告表。</w:t>
            </w:r>
          </w:p>
          <w:p w14:paraId="2AEFD307">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宋体" w:hAnsi="宋体" w:eastAsia="宋体" w:cs="宋体"/>
                <w:b w:val="0"/>
                <w:bCs w:val="0"/>
                <w:color w:val="auto"/>
                <w:sz w:val="24"/>
                <w:szCs w:val="24"/>
                <w:lang w:val="en-US" w:eastAsia="zh-CN"/>
              </w:rPr>
            </w:pPr>
            <w:r>
              <w:rPr>
                <w:rFonts w:hint="eastAsia"/>
                <w:b/>
                <w:bCs/>
                <w:color w:val="auto"/>
                <w:sz w:val="24"/>
                <w:szCs w:val="24"/>
              </w:rPr>
              <w:t>【</w:t>
            </w:r>
            <w:r>
              <w:rPr>
                <w:rFonts w:hint="eastAsia"/>
                <w:b/>
                <w:bCs/>
                <w:color w:val="auto"/>
                <w:sz w:val="24"/>
                <w:szCs w:val="24"/>
                <w:lang w:eastAsia="zh-CN"/>
              </w:rPr>
              <w:t>项目组成</w:t>
            </w:r>
            <w:r>
              <w:rPr>
                <w:rFonts w:hint="eastAsia"/>
                <w:b/>
                <w:bCs/>
                <w:color w:val="auto"/>
                <w:sz w:val="24"/>
                <w:szCs w:val="24"/>
              </w:rPr>
              <w:t>】</w:t>
            </w:r>
          </w:p>
          <w:p w14:paraId="28F2D3B0">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宋体" w:hAnsi="宋体" w:cs="宋体"/>
                <w:b/>
                <w:bCs/>
                <w:color w:val="auto"/>
                <w:sz w:val="24"/>
                <w:szCs w:val="24"/>
                <w:lang w:val="en-US" w:eastAsia="zh-CN"/>
              </w:rPr>
            </w:pPr>
            <w:r>
              <w:rPr>
                <w:rFonts w:hint="eastAsia" w:ascii="宋体" w:hAnsi="宋体" w:cs="宋体"/>
                <w:b/>
                <w:bCs/>
                <w:color w:val="auto"/>
                <w:sz w:val="24"/>
                <w:szCs w:val="24"/>
                <w:lang w:val="en-US" w:eastAsia="zh-CN"/>
              </w:rPr>
              <w:t>1、防洪排涝工程内容</w:t>
            </w:r>
          </w:p>
          <w:p w14:paraId="7FBBBF6B">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cs="宋体"/>
                <w:b/>
                <w:bCs/>
                <w:color w:val="auto"/>
                <w:sz w:val="24"/>
                <w:szCs w:val="24"/>
                <w:lang w:val="en-US" w:eastAsia="zh-CN"/>
              </w:rPr>
            </w:pPr>
            <w:r>
              <w:rPr>
                <w:rFonts w:hint="eastAsia" w:ascii="宋体" w:hAnsi="宋体" w:cs="宋体"/>
                <w:b/>
                <w:bCs/>
                <w:color w:val="auto"/>
                <w:sz w:val="24"/>
                <w:szCs w:val="24"/>
                <w:lang w:val="en-US" w:eastAsia="zh-CN"/>
              </w:rPr>
              <w:t>（1）巴陵路（琵琶王立交-王家河）排水管道</w:t>
            </w:r>
          </w:p>
          <w:p w14:paraId="33CC5001">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cs="宋体"/>
                <w:color w:val="auto"/>
                <w:sz w:val="24"/>
                <w:szCs w:val="24"/>
                <w:lang w:val="en-US" w:eastAsia="zh-CN"/>
              </w:rPr>
            </w:pPr>
            <w:r>
              <w:rPr>
                <w:rFonts w:hint="eastAsia" w:ascii="宋体" w:hAnsi="宋体" w:cs="宋体"/>
                <w:b/>
                <w:bCs/>
                <w:color w:val="auto"/>
                <w:sz w:val="24"/>
                <w:szCs w:val="24"/>
                <w:lang w:val="en-US" w:eastAsia="zh-CN"/>
              </w:rPr>
              <w:t>内涝现状：</w:t>
            </w:r>
            <w:r>
              <w:rPr>
                <w:rFonts w:hint="eastAsia" w:ascii="宋体" w:hAnsi="宋体" w:cs="宋体"/>
                <w:color w:val="auto"/>
                <w:sz w:val="24"/>
                <w:szCs w:val="24"/>
                <w:lang w:val="en-US" w:eastAsia="zh-CN"/>
              </w:rPr>
              <w:t>琵琶王立交桥东侧两处内涝点（东南角1、东北角2）两处内涝点，汇水面积85hm</w:t>
            </w:r>
            <w:r>
              <w:rPr>
                <w:rFonts w:hint="eastAsia" w:ascii="宋体" w:hAnsi="宋体" w:cs="宋体"/>
                <w:color w:val="auto"/>
                <w:sz w:val="24"/>
                <w:szCs w:val="24"/>
                <w:vertAlign w:val="superscript"/>
                <w:lang w:val="en-US" w:eastAsia="zh-CN"/>
              </w:rPr>
              <w:t>2</w:t>
            </w:r>
            <w:r>
              <w:rPr>
                <w:rFonts w:hint="eastAsia" w:ascii="宋体" w:hAnsi="宋体" w:cs="宋体"/>
                <w:color w:val="auto"/>
                <w:sz w:val="24"/>
                <w:szCs w:val="24"/>
                <w:lang w:val="en-US" w:eastAsia="zh-CN"/>
              </w:rPr>
              <w:t>，地面标高为：东北角地面最低点标高为35.3米，东南角地面最低点标高为34.01米，两处积水到标高约37.5米（即积水深度约2-3米）。</w:t>
            </w:r>
          </w:p>
          <w:p w14:paraId="60E60EF1">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cs="宋体"/>
                <w:color w:val="auto"/>
                <w:sz w:val="24"/>
                <w:szCs w:val="24"/>
                <w:lang w:val="en-US" w:eastAsia="zh-CN"/>
              </w:rPr>
            </w:pPr>
            <w:r>
              <w:rPr>
                <w:rFonts w:hint="eastAsia" w:ascii="宋体" w:hAnsi="宋体" w:cs="宋体"/>
                <w:b/>
                <w:bCs/>
                <w:color w:val="auto"/>
                <w:sz w:val="24"/>
                <w:szCs w:val="24"/>
                <w:lang w:val="en-US" w:eastAsia="zh-CN"/>
              </w:rPr>
              <w:t>排水解决方案：</w:t>
            </w:r>
            <w:r>
              <w:rPr>
                <w:rFonts w:hint="eastAsia" w:ascii="宋体" w:hAnsi="宋体" w:cs="宋体"/>
                <w:color w:val="auto"/>
                <w:sz w:val="24"/>
                <w:szCs w:val="24"/>
                <w:lang w:val="en-US" w:eastAsia="zh-CN"/>
              </w:rPr>
              <w:t>沿着巴陵路南侧辅道新建一根DN2600的防洪排水管道，管道坡度为0.003，管道长度1450米，将雨水排入王家河。内涝重现期按30年，径流系数0.6，设计流量为16165L/s。</w:t>
            </w:r>
          </w:p>
          <w:p w14:paraId="40D82E3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4"/>
                <w:szCs w:val="24"/>
                <w:lang w:val="en-US" w:eastAsia="zh-CN"/>
              </w:rPr>
            </w:pPr>
            <w:r>
              <w:rPr>
                <w:rFonts w:hint="eastAsia" w:ascii="宋体" w:hAnsi="宋体" w:cs="宋体"/>
                <w:color w:val="FF0000"/>
                <w:sz w:val="24"/>
                <w:szCs w:val="24"/>
                <w:lang w:val="en-US" w:eastAsia="zh-CN"/>
              </w:rPr>
              <w:object>
                <v:shape id="_x0000_i1025" o:spt="75" type="#_x0000_t75" style="height:194.4pt;width:396.05pt;" o:ole="t" filled="f" o:preferrelative="t" stroked="t" coordsize="21600,21600">
                  <v:path/>
                  <v:fill on="f" focussize="0,0"/>
                  <v:stroke color="#000000" joinstyle="miter"/>
                  <v:imagedata r:id="rId10" o:title=""/>
                  <o:lock v:ext="edit" aspectratio="f"/>
                  <w10:wrap type="none"/>
                  <w10:anchorlock/>
                </v:shape>
                <o:OLEObject Type="Embed" ProgID="Visio.Drawing.15" ShapeID="_x0000_i1025" DrawAspect="Content" ObjectID="_1468075725" r:id="rId9">
                  <o:LockedField>false</o:LockedField>
                </o:OLEObject>
              </w:object>
            </w:r>
            <w:r>
              <w:rPr>
                <w:rFonts w:hint="eastAsia" w:ascii="宋体" w:hAnsi="宋体" w:cs="宋体"/>
                <w:color w:val="auto"/>
                <w:sz w:val="24"/>
                <w:szCs w:val="24"/>
                <w:lang w:val="en-US" w:eastAsia="zh-CN"/>
              </w:rPr>
              <w:t>图2-1  琵琶王立交桥周围内涝点1、2</w:t>
            </w:r>
          </w:p>
          <w:p w14:paraId="2359129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object>
                <v:shape id="_x0000_i1026" o:spt="75" type="#_x0000_t75" style="height:153.6pt;width:396.05pt;" o:ole="t" filled="f" o:preferrelative="t" stroked="t" coordsize="21600,21600">
                  <v:path/>
                  <v:fill on="f" focussize="0,0"/>
                  <v:stroke color="#000000" joinstyle="miter"/>
                  <v:imagedata r:id="rId12" o:title=""/>
                  <o:lock v:ext="edit" aspectratio="f"/>
                  <w10:wrap type="none"/>
                  <w10:anchorlock/>
                </v:shape>
                <o:OLEObject Type="Embed" ProgID="Visio.Drawing.15" ShapeID="_x0000_i1026" DrawAspect="Content" ObjectID="_1468075726" r:id="rId11">
                  <o:LockedField>false</o:LockedField>
                </o:OLEObject>
              </w:object>
            </w:r>
            <w:r>
              <w:rPr>
                <w:rFonts w:hint="eastAsia" w:ascii="宋体" w:hAnsi="宋体" w:cs="宋体"/>
                <w:color w:val="auto"/>
                <w:sz w:val="24"/>
                <w:szCs w:val="24"/>
                <w:lang w:val="en-US" w:eastAsia="zh-CN"/>
              </w:rPr>
              <w:object>
                <v:shape id="_x0000_i1027" o:spt="75" type="#_x0000_t75" style="height:160.45pt;width:395.95pt;" o:ole="t" filled="f" o:preferrelative="t" stroked="t" coordsize="21600,21600">
                  <v:path/>
                  <v:fill on="f" focussize="0,0"/>
                  <v:stroke color="#000000" joinstyle="miter"/>
                  <v:imagedata r:id="rId14" o:title=""/>
                  <o:lock v:ext="edit" aspectratio="f"/>
                  <w10:wrap type="none"/>
                  <w10:anchorlock/>
                </v:shape>
                <o:OLEObject Type="Embed" ProgID="Visio.Drawing.15" ShapeID="_x0000_i1027" DrawAspect="Content" ObjectID="_1468075727" r:id="rId13">
                  <o:LockedField>false</o:LockedField>
                </o:OLEObject>
              </w:object>
            </w:r>
            <w:r>
              <w:rPr>
                <w:rFonts w:hint="eastAsia" w:ascii="宋体" w:hAnsi="宋体" w:cs="宋体"/>
                <w:color w:val="auto"/>
                <w:sz w:val="24"/>
                <w:szCs w:val="24"/>
                <w:lang w:val="en-US" w:eastAsia="zh-CN"/>
              </w:rPr>
              <w:t>图2-2  琵琶王立交桥东南角积水照片</w:t>
            </w:r>
          </w:p>
          <w:p w14:paraId="35FB5FF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宋体" w:hAnsi="宋体" w:cs="宋体"/>
                <w:color w:val="auto"/>
                <w:sz w:val="24"/>
                <w:szCs w:val="24"/>
                <w:lang w:val="en-US" w:eastAsia="zh-CN"/>
              </w:rPr>
            </w:pPr>
          </w:p>
          <w:p w14:paraId="5873987B">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default" w:ascii="宋体" w:hAnsi="宋体" w:cs="宋体"/>
                <w:b/>
                <w:bCs/>
                <w:color w:val="auto"/>
                <w:sz w:val="24"/>
                <w:szCs w:val="24"/>
                <w:lang w:val="en-US" w:eastAsia="zh-CN"/>
              </w:rPr>
            </w:pPr>
            <w:r>
              <w:rPr>
                <w:rFonts w:hint="eastAsia" w:ascii="宋体" w:hAnsi="宋体" w:cs="宋体"/>
                <w:b/>
                <w:bCs/>
                <w:color w:val="auto"/>
                <w:sz w:val="24"/>
                <w:szCs w:val="24"/>
                <w:lang w:val="en-US" w:eastAsia="zh-CN"/>
              </w:rPr>
              <w:t>（2）万家垅内涝点排水方案</w:t>
            </w:r>
          </w:p>
          <w:p w14:paraId="7BC8DC4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object>
                <v:shape id="_x0000_i1028" o:spt="75" type="#_x0000_t75" style="height:217.25pt;width:395.9pt;" o:ole="t" filled="f" o:preferrelative="t" stroked="t" coordsize="21600,21600">
                  <v:path/>
                  <v:fill on="f" focussize="0,0"/>
                  <v:stroke color="#000000" joinstyle="miter"/>
                  <v:imagedata r:id="rId16" o:title=""/>
                  <o:lock v:ext="edit" aspectratio="f"/>
                  <w10:wrap type="none"/>
                  <w10:anchorlock/>
                </v:shape>
                <o:OLEObject Type="Embed" ProgID="Visio.Drawing.15" ShapeID="_x0000_i1028" DrawAspect="Content" ObjectID="_1468075728" r:id="rId15">
                  <o:LockedField>false</o:LockedField>
                </o:OLEObject>
              </w:object>
            </w:r>
            <w:r>
              <w:rPr>
                <w:rFonts w:hint="eastAsia" w:ascii="宋体" w:hAnsi="宋体" w:cs="宋体"/>
                <w:color w:val="auto"/>
                <w:sz w:val="24"/>
                <w:szCs w:val="24"/>
                <w:lang w:val="en-US" w:eastAsia="zh-CN"/>
              </w:rPr>
              <w:t>图2-3  万家垅内涝点1、2</w:t>
            </w:r>
          </w:p>
          <w:p w14:paraId="3083B651">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cs="宋体"/>
                <w:color w:val="auto"/>
                <w:sz w:val="24"/>
                <w:szCs w:val="24"/>
                <w:lang w:val="en-US" w:eastAsia="zh-CN"/>
              </w:rPr>
            </w:pPr>
            <w:r>
              <w:rPr>
                <w:rFonts w:hint="eastAsia" w:ascii="宋体" w:hAnsi="宋体" w:cs="宋体"/>
                <w:b/>
                <w:bCs/>
                <w:color w:val="auto"/>
                <w:sz w:val="24"/>
                <w:szCs w:val="24"/>
                <w:lang w:val="en-US" w:eastAsia="zh-CN"/>
              </w:rPr>
              <w:t>内涝现状：</w:t>
            </w:r>
            <w:r>
              <w:rPr>
                <w:rFonts w:hint="eastAsia" w:ascii="宋体" w:hAnsi="宋体" w:cs="宋体"/>
                <w:color w:val="auto"/>
                <w:sz w:val="24"/>
                <w:szCs w:val="24"/>
                <w:lang w:val="en-US" w:eastAsia="zh-CN"/>
              </w:rPr>
              <w:t>万家垅内涝点（2处）位于洞庭大道以西，万家垅路以西（见下图所示），地面最低点标高为30.27米，而洞庭大道标高为34.65米，万家垅路标高为34-35米。万家垅低洼点汇水面积约1.3hm2，包含律师协会。</w:t>
            </w:r>
          </w:p>
          <w:p w14:paraId="6ED9894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cs="宋体"/>
                <w:color w:val="auto"/>
                <w:sz w:val="24"/>
                <w:szCs w:val="24"/>
                <w:lang w:val="en-US" w:eastAsia="zh-CN"/>
              </w:rPr>
            </w:pPr>
            <w:r>
              <w:rPr>
                <w:sz w:val="24"/>
                <w:szCs w:val="24"/>
              </w:rPr>
              <w:drawing>
                <wp:inline distT="0" distB="0" distL="114300" distR="114300">
                  <wp:extent cx="5034915" cy="2553970"/>
                  <wp:effectExtent l="9525" t="9525" r="22860" b="27305"/>
                  <wp:docPr id="43" name="图片 4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图片1"/>
                          <pic:cNvPicPr>
                            <a:picLocks noChangeAspect="1"/>
                          </pic:cNvPicPr>
                        </pic:nvPicPr>
                        <pic:blipFill>
                          <a:blip r:embed="rId17"/>
                          <a:stretch>
                            <a:fillRect/>
                          </a:stretch>
                        </pic:blipFill>
                        <pic:spPr>
                          <a:xfrm>
                            <a:off x="0" y="0"/>
                            <a:ext cx="5034915" cy="2553970"/>
                          </a:xfrm>
                          <a:prstGeom prst="rect">
                            <a:avLst/>
                          </a:prstGeom>
                          <a:ln>
                            <a:solidFill>
                              <a:schemeClr val="tx1"/>
                            </a:solidFill>
                          </a:ln>
                        </pic:spPr>
                      </pic:pic>
                    </a:graphicData>
                  </a:graphic>
                </wp:inline>
              </w:drawing>
            </w:r>
          </w:p>
          <w:p w14:paraId="74D8381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图2-4  万家垅内涝现场图</w:t>
            </w:r>
          </w:p>
          <w:p w14:paraId="0C3C9E99">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default" w:ascii="宋体" w:hAnsi="宋体" w:cs="宋体"/>
                <w:color w:val="auto"/>
                <w:sz w:val="24"/>
                <w:szCs w:val="24"/>
                <w:lang w:val="en-US" w:eastAsia="zh-CN"/>
              </w:rPr>
            </w:pPr>
            <w:r>
              <w:rPr>
                <w:rFonts w:hint="eastAsia" w:ascii="宋体" w:hAnsi="宋体" w:cs="宋体"/>
                <w:b/>
                <w:bCs/>
                <w:color w:val="auto"/>
                <w:sz w:val="24"/>
                <w:szCs w:val="24"/>
                <w:lang w:val="en-US" w:eastAsia="zh-CN"/>
              </w:rPr>
              <w:t>排水解决方案：</w:t>
            </w:r>
            <w:r>
              <w:rPr>
                <w:rFonts w:hint="eastAsia" w:ascii="宋体" w:hAnsi="宋体" w:cs="宋体"/>
                <w:color w:val="auto"/>
                <w:sz w:val="24"/>
                <w:szCs w:val="24"/>
                <w:lang w:val="en-US" w:eastAsia="zh-CN"/>
              </w:rPr>
              <w:t>对万家垅路排水管道进行清淤，对低洼点北侧拦水沟修复，缓解内涝情况，待三峡项目实施后彻底解决万家垅内涝。</w:t>
            </w:r>
          </w:p>
          <w:p w14:paraId="5C95BF25">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cs="宋体"/>
                <w:b/>
                <w:bCs/>
                <w:color w:val="auto"/>
                <w:sz w:val="24"/>
                <w:szCs w:val="24"/>
                <w:lang w:val="en-US" w:eastAsia="zh-CN"/>
              </w:rPr>
            </w:pPr>
            <w:r>
              <w:rPr>
                <w:rFonts w:hint="eastAsia" w:ascii="宋体" w:hAnsi="宋体" w:cs="宋体"/>
                <w:b/>
                <w:bCs/>
                <w:color w:val="auto"/>
                <w:sz w:val="24"/>
                <w:szCs w:val="24"/>
                <w:lang w:val="en-US" w:eastAsia="zh-CN"/>
              </w:rPr>
              <w:t>（3）新天地排水方案</w:t>
            </w:r>
          </w:p>
          <w:p w14:paraId="5E54809B">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cs="宋体"/>
                <w:color w:val="auto"/>
                <w:sz w:val="24"/>
                <w:szCs w:val="24"/>
                <w:lang w:val="en-US" w:eastAsia="zh-CN"/>
              </w:rPr>
            </w:pPr>
            <w:r>
              <w:rPr>
                <w:rFonts w:hint="eastAsia" w:ascii="宋体" w:hAnsi="宋体" w:cs="宋体"/>
                <w:b/>
                <w:bCs/>
                <w:color w:val="auto"/>
                <w:sz w:val="24"/>
                <w:szCs w:val="24"/>
                <w:lang w:val="en-US" w:eastAsia="zh-CN"/>
              </w:rPr>
              <w:t>内涝现状：</w:t>
            </w:r>
            <w:r>
              <w:rPr>
                <w:rFonts w:hint="eastAsia" w:ascii="宋体" w:hAnsi="宋体" w:cs="宋体"/>
                <w:color w:val="auto"/>
                <w:sz w:val="24"/>
                <w:szCs w:val="24"/>
                <w:lang w:val="en-US" w:eastAsia="zh-CN"/>
              </w:rPr>
              <w:t>洛王排水主涵（冷水铺路-王家河）段，主要尺寸为2500</w:t>
            </w:r>
            <w:r>
              <w:rPr>
                <w:rFonts w:hint="default" w:ascii="Arial" w:hAnsi="Arial" w:cs="Arial"/>
                <w:color w:val="auto"/>
                <w:sz w:val="24"/>
                <w:szCs w:val="24"/>
                <w:lang w:val="en-US" w:eastAsia="zh-CN"/>
              </w:rPr>
              <w:t>×</w:t>
            </w:r>
            <w:r>
              <w:rPr>
                <w:rFonts w:hint="eastAsia" w:ascii="宋体" w:hAnsi="宋体" w:cs="宋体"/>
                <w:color w:val="auto"/>
                <w:sz w:val="24"/>
                <w:szCs w:val="24"/>
                <w:lang w:val="en-US" w:eastAsia="zh-CN"/>
              </w:rPr>
              <w:t>2400箱涵、DN2600管涵。现由于位于洛王新天地小区北侧的一段DN2600管道出现塌陷（1处），塌陷长度约10m，主排水涵堵塞上游排水无出路，造成上游洛王潘家地段积水严重，对人民群众生命财产安全造成巨大威胁。</w:t>
            </w:r>
          </w:p>
          <w:p w14:paraId="73AE238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cs="宋体"/>
                <w:color w:val="auto"/>
                <w:sz w:val="24"/>
                <w:szCs w:val="24"/>
                <w:lang w:val="en-US" w:eastAsia="zh-CN"/>
              </w:rPr>
            </w:pPr>
            <w:r>
              <w:drawing>
                <wp:inline distT="0" distB="0" distL="114300" distR="114300">
                  <wp:extent cx="4993640" cy="2567305"/>
                  <wp:effectExtent l="0" t="0" r="16510" b="4445"/>
                  <wp:docPr id="4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2"/>
                          <pic:cNvPicPr>
                            <a:picLocks noChangeAspect="1"/>
                          </pic:cNvPicPr>
                        </pic:nvPicPr>
                        <pic:blipFill>
                          <a:blip r:embed="rId18"/>
                          <a:stretch>
                            <a:fillRect/>
                          </a:stretch>
                        </pic:blipFill>
                        <pic:spPr>
                          <a:xfrm>
                            <a:off x="0" y="0"/>
                            <a:ext cx="4993640" cy="2567305"/>
                          </a:xfrm>
                          <a:prstGeom prst="rect">
                            <a:avLst/>
                          </a:prstGeom>
                          <a:noFill/>
                          <a:ln>
                            <a:noFill/>
                          </a:ln>
                        </pic:spPr>
                      </pic:pic>
                    </a:graphicData>
                  </a:graphic>
                </wp:inline>
              </w:drawing>
            </w:r>
          </w:p>
          <w:p w14:paraId="134048F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center"/>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图2-5  新天地雨水管道现状图</w:t>
            </w:r>
          </w:p>
          <w:p w14:paraId="1AA33EC4">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cs="宋体"/>
                <w:b/>
                <w:bCs/>
                <w:color w:val="auto"/>
                <w:sz w:val="24"/>
                <w:szCs w:val="24"/>
                <w:lang w:val="en-US" w:eastAsia="zh-CN"/>
              </w:rPr>
            </w:pPr>
            <w:r>
              <w:rPr>
                <w:rFonts w:hint="eastAsia" w:ascii="宋体" w:hAnsi="宋体" w:cs="宋体"/>
                <w:b/>
                <w:bCs/>
                <w:color w:val="auto"/>
                <w:sz w:val="24"/>
                <w:szCs w:val="24"/>
                <w:lang w:val="en-US" w:eastAsia="zh-CN"/>
              </w:rPr>
              <w:t>排水解决方案：</w:t>
            </w:r>
            <w:r>
              <w:rPr>
                <w:rFonts w:hint="eastAsia" w:ascii="宋体" w:hAnsi="宋体" w:cs="宋体"/>
                <w:color w:val="auto"/>
                <w:sz w:val="24"/>
                <w:szCs w:val="24"/>
                <w:lang w:val="en-US" w:eastAsia="zh-CN"/>
              </w:rPr>
              <w:t>在原有管位坍塌段采用开挖埋管，旋挖桩进行支护的方式，新建DN2600III级钢筋混凝土管，长度约220米，并预埋好DN800临时排水管，解决上游雨水排放问题。并在新建管涵起点处设置临时抽排水泵，雨季时将原有箱涵内部分雨水抽排至冷水铺路现状DN800雨水管道内。</w:t>
            </w:r>
          </w:p>
          <w:p w14:paraId="4CEC8BA8">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default" w:ascii="宋体" w:hAnsi="宋体" w:cs="宋体"/>
                <w:b/>
                <w:bCs/>
                <w:color w:val="auto"/>
                <w:sz w:val="24"/>
                <w:szCs w:val="24"/>
                <w:lang w:val="en-US" w:eastAsia="zh-CN"/>
              </w:rPr>
            </w:pPr>
            <w:r>
              <w:rPr>
                <w:rFonts w:hint="eastAsia" w:ascii="宋体" w:hAnsi="宋体" w:cs="宋体"/>
                <w:b/>
                <w:bCs/>
                <w:color w:val="auto"/>
                <w:sz w:val="24"/>
                <w:szCs w:val="24"/>
                <w:lang w:val="en-US" w:eastAsia="zh-CN"/>
              </w:rPr>
              <w:t>（4）其它排水管涵整治方案</w:t>
            </w:r>
          </w:p>
          <w:p w14:paraId="03C4BFB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fldChar w:fldCharType="begin"/>
            </w:r>
            <w:r>
              <w:rPr>
                <w:rFonts w:hint="eastAsia" w:ascii="宋体" w:hAnsi="宋体" w:cs="宋体"/>
                <w:b w:val="0"/>
                <w:bCs w:val="0"/>
                <w:color w:val="auto"/>
                <w:sz w:val="24"/>
                <w:szCs w:val="24"/>
                <w:lang w:val="en-US" w:eastAsia="zh-CN"/>
              </w:rPr>
              <w:instrText xml:space="preserve"> = 1 \* GB3 \* MERGEFORMAT </w:instrText>
            </w:r>
            <w:r>
              <w:rPr>
                <w:rFonts w:hint="eastAsia" w:ascii="宋体" w:hAnsi="宋体" w:cs="宋体"/>
                <w:b w:val="0"/>
                <w:bCs w:val="0"/>
                <w:color w:val="auto"/>
                <w:sz w:val="24"/>
                <w:szCs w:val="24"/>
                <w:lang w:val="en-US" w:eastAsia="zh-CN"/>
              </w:rPr>
              <w:fldChar w:fldCharType="separate"/>
            </w:r>
            <w:r>
              <w:t>①</w:t>
            </w:r>
            <w:r>
              <w:rPr>
                <w:rFonts w:hint="eastAsia" w:ascii="宋体" w:hAnsi="宋体" w:cs="宋体"/>
                <w:b w:val="0"/>
                <w:bCs w:val="0"/>
                <w:color w:val="auto"/>
                <w:sz w:val="24"/>
                <w:szCs w:val="24"/>
                <w:lang w:val="en-US" w:eastAsia="zh-CN"/>
              </w:rPr>
              <w:fldChar w:fldCharType="end"/>
            </w:r>
            <w:r>
              <w:rPr>
                <w:rFonts w:hint="eastAsia" w:ascii="宋体" w:hAnsi="宋体" w:cs="宋体"/>
                <w:b w:val="0"/>
                <w:bCs w:val="0"/>
                <w:color w:val="auto"/>
                <w:sz w:val="24"/>
                <w:szCs w:val="24"/>
                <w:lang w:val="en-US" w:eastAsia="zh-CN"/>
              </w:rPr>
              <w:t>陈家巷排水治理方案</w:t>
            </w:r>
          </w:p>
          <w:p w14:paraId="1665C3F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对接社区、业主，本工程只修复片区内排水沟，对下游管道进行清淤，缓解内涝（1处）问题。</w:t>
            </w:r>
          </w:p>
          <w:p w14:paraId="22DE8E23">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cs="宋体"/>
                <w:b w:val="0"/>
                <w:bCs w:val="0"/>
                <w:color w:val="auto"/>
                <w:sz w:val="24"/>
                <w:szCs w:val="24"/>
                <w:lang w:val="en-US" w:eastAsia="zh-CN"/>
              </w:rPr>
            </w:pPr>
            <w:r>
              <w:rPr>
                <w:rFonts w:hint="eastAsia" w:ascii="宋体" w:hAnsi="宋体" w:cs="宋体"/>
                <w:color w:val="FF0000"/>
                <w:sz w:val="24"/>
                <w:szCs w:val="24"/>
                <w:lang w:val="en-US" w:eastAsia="zh-CN"/>
              </w:rPr>
              <w:object>
                <v:shape id="_x0000_i1029" o:spt="75" type="#_x0000_t75" style="height:221.6pt;width:395.95pt;" o:ole="t" filled="f" o:preferrelative="t" stroked="t" coordsize="21600,21600">
                  <v:path/>
                  <v:fill on="f" focussize="0,0"/>
                  <v:stroke color="#000000" joinstyle="miter"/>
                  <v:imagedata r:id="rId20" o:title=""/>
                  <o:lock v:ext="edit" aspectratio="f"/>
                  <w10:wrap type="none"/>
                  <w10:anchorlock/>
                </v:shape>
                <o:OLEObject Type="Embed" ProgID="Visio.Drawing.15" ShapeID="_x0000_i1029" DrawAspect="Content" ObjectID="_1468075729" r:id="rId19">
                  <o:LockedField>false</o:LockedField>
                </o:OLEObject>
              </w:object>
            </w:r>
            <w:r>
              <w:rPr>
                <w:rFonts w:hint="eastAsia" w:ascii="宋体" w:hAnsi="宋体" w:cs="宋体"/>
                <w:color w:val="auto"/>
                <w:sz w:val="24"/>
                <w:szCs w:val="24"/>
                <w:lang w:val="en-US" w:eastAsia="zh-CN"/>
              </w:rPr>
              <w:t>图2-6  陈家巷周围内涝点</w:t>
            </w:r>
          </w:p>
          <w:p w14:paraId="03657F6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fldChar w:fldCharType="begin"/>
            </w:r>
            <w:r>
              <w:rPr>
                <w:rFonts w:hint="eastAsia" w:ascii="宋体" w:hAnsi="宋体" w:cs="宋体"/>
                <w:b w:val="0"/>
                <w:bCs w:val="0"/>
                <w:color w:val="auto"/>
                <w:sz w:val="24"/>
                <w:szCs w:val="24"/>
                <w:lang w:val="en-US" w:eastAsia="zh-CN"/>
              </w:rPr>
              <w:instrText xml:space="preserve"> = 2 \* GB3 \* MERGEFORMAT </w:instrText>
            </w:r>
            <w:r>
              <w:rPr>
                <w:rFonts w:hint="eastAsia" w:ascii="宋体" w:hAnsi="宋体" w:cs="宋体"/>
                <w:b w:val="0"/>
                <w:bCs w:val="0"/>
                <w:color w:val="auto"/>
                <w:sz w:val="24"/>
                <w:szCs w:val="24"/>
                <w:lang w:val="en-US" w:eastAsia="zh-CN"/>
              </w:rPr>
              <w:fldChar w:fldCharType="separate"/>
            </w:r>
            <w:r>
              <w:t>②</w:t>
            </w:r>
            <w:r>
              <w:rPr>
                <w:rFonts w:hint="eastAsia" w:ascii="宋体" w:hAnsi="宋体" w:cs="宋体"/>
                <w:b w:val="0"/>
                <w:bCs w:val="0"/>
                <w:color w:val="auto"/>
                <w:sz w:val="24"/>
                <w:szCs w:val="24"/>
                <w:lang w:val="en-US" w:eastAsia="zh-CN"/>
              </w:rPr>
              <w:fldChar w:fldCharType="end"/>
            </w:r>
            <w:r>
              <w:rPr>
                <w:rFonts w:hint="eastAsia" w:ascii="宋体" w:hAnsi="宋体" w:cs="宋体"/>
                <w:b w:val="0"/>
                <w:bCs w:val="0"/>
                <w:color w:val="auto"/>
                <w:sz w:val="24"/>
                <w:szCs w:val="24"/>
                <w:lang w:val="en-US" w:eastAsia="zh-CN"/>
              </w:rPr>
              <w:t>康复医院北侧排水涵治理方案</w:t>
            </w:r>
          </w:p>
          <w:p w14:paraId="5A2A6CC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b w:val="0"/>
                <w:bCs w:val="0"/>
                <w:color w:val="auto"/>
                <w:sz w:val="24"/>
                <w:szCs w:val="24"/>
                <w:lang w:val="en-US" w:eastAsia="zh-CN"/>
              </w:rPr>
            </w:pPr>
            <w:r>
              <w:rPr>
                <w:rFonts w:hint="eastAsia" w:ascii="宋体" w:hAnsi="宋体" w:cs="宋体"/>
                <w:color w:val="FF0000"/>
                <w:sz w:val="24"/>
                <w:szCs w:val="24"/>
                <w:lang w:val="en-US" w:eastAsia="zh-CN"/>
              </w:rPr>
              <w:object>
                <v:shape id="_x0000_i1030" o:spt="75" type="#_x0000_t75" style="height:169.45pt;width:396.1pt;" o:ole="t" filled="f" o:preferrelative="t" stroked="t" coordsize="21600,21600">
                  <v:path/>
                  <v:fill on="f" focussize="0,0"/>
                  <v:stroke color="#000000" joinstyle="miter"/>
                  <v:imagedata r:id="rId22" o:title=""/>
                  <o:lock v:ext="edit" aspectratio="f"/>
                  <w10:wrap type="none"/>
                  <w10:anchorlock/>
                </v:shape>
                <o:OLEObject Type="Embed" ProgID="Visio.Drawing.15" ShapeID="_x0000_i1030" DrawAspect="Content" ObjectID="_1468075730" r:id="rId21">
                  <o:LockedField>false</o:LockedField>
                </o:OLEObject>
              </w:object>
            </w:r>
            <w:r>
              <w:rPr>
                <w:rFonts w:hint="eastAsia" w:ascii="宋体" w:hAnsi="宋体" w:cs="宋体"/>
                <w:color w:val="auto"/>
                <w:sz w:val="24"/>
                <w:szCs w:val="24"/>
                <w:lang w:val="en-US" w:eastAsia="zh-CN"/>
              </w:rPr>
              <w:t xml:space="preserve">图2-7  </w:t>
            </w:r>
            <w:r>
              <w:rPr>
                <w:rFonts w:hint="eastAsia" w:ascii="宋体" w:hAnsi="宋体" w:cs="宋体"/>
                <w:b w:val="0"/>
                <w:bCs w:val="0"/>
                <w:color w:val="auto"/>
                <w:sz w:val="24"/>
                <w:szCs w:val="24"/>
                <w:lang w:val="en-US" w:eastAsia="zh-CN"/>
              </w:rPr>
              <w:t>康复医院北侧</w:t>
            </w:r>
            <w:r>
              <w:rPr>
                <w:rFonts w:hint="eastAsia" w:ascii="宋体" w:hAnsi="宋体" w:cs="宋体"/>
                <w:color w:val="auto"/>
                <w:sz w:val="24"/>
                <w:szCs w:val="24"/>
                <w:lang w:val="en-US" w:eastAsia="zh-CN"/>
              </w:rPr>
              <w:t>内涝点</w:t>
            </w:r>
          </w:p>
          <w:p w14:paraId="77C8682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本内涝点为老城区，周边市政基础设施落后，很难解决内涝问题；在下游排水能力无法解决的情况下，建议对排水管涵清淤，修复，加强监控。管涵清淤，修复长度300米，增加检查井6座，缓解内涝问题。</w:t>
            </w:r>
          </w:p>
          <w:p w14:paraId="1EB687E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fldChar w:fldCharType="begin"/>
            </w:r>
            <w:r>
              <w:rPr>
                <w:rFonts w:hint="eastAsia" w:ascii="宋体" w:hAnsi="宋体" w:cs="宋体"/>
                <w:b w:val="0"/>
                <w:bCs w:val="0"/>
                <w:color w:val="auto"/>
                <w:sz w:val="24"/>
                <w:szCs w:val="24"/>
                <w:lang w:val="en-US" w:eastAsia="zh-CN"/>
              </w:rPr>
              <w:instrText xml:space="preserve"> = 3 \* GB3 \* MERGEFORMAT </w:instrText>
            </w:r>
            <w:r>
              <w:rPr>
                <w:rFonts w:hint="eastAsia" w:ascii="宋体" w:hAnsi="宋体" w:cs="宋体"/>
                <w:b w:val="0"/>
                <w:bCs w:val="0"/>
                <w:color w:val="auto"/>
                <w:sz w:val="24"/>
                <w:szCs w:val="24"/>
                <w:lang w:val="en-US" w:eastAsia="zh-CN"/>
              </w:rPr>
              <w:fldChar w:fldCharType="separate"/>
            </w:r>
            <w:r>
              <w:t>③</w:t>
            </w:r>
            <w:r>
              <w:rPr>
                <w:rFonts w:hint="eastAsia" w:ascii="宋体" w:hAnsi="宋体" w:cs="宋体"/>
                <w:b w:val="0"/>
                <w:bCs w:val="0"/>
                <w:color w:val="auto"/>
                <w:sz w:val="24"/>
                <w:szCs w:val="24"/>
                <w:lang w:val="en-US" w:eastAsia="zh-CN"/>
              </w:rPr>
              <w:fldChar w:fldCharType="end"/>
            </w:r>
            <w:r>
              <w:rPr>
                <w:rFonts w:hint="eastAsia" w:ascii="宋体" w:hAnsi="宋体" w:cs="宋体"/>
                <w:b w:val="0"/>
                <w:bCs w:val="0"/>
                <w:color w:val="auto"/>
                <w:sz w:val="24"/>
                <w:szCs w:val="24"/>
                <w:lang w:val="en-US" w:eastAsia="zh-CN"/>
              </w:rPr>
              <w:t>夏万路排水沟渠整治方案</w:t>
            </w:r>
          </w:p>
          <w:p w14:paraId="3E19E89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对夏万街139号盖板沟400</w:t>
            </w:r>
            <w:r>
              <w:rPr>
                <w:rFonts w:hint="default" w:ascii="Arial" w:hAnsi="Arial" w:cs="Arial"/>
                <w:b w:val="0"/>
                <w:bCs w:val="0"/>
                <w:color w:val="auto"/>
                <w:sz w:val="24"/>
                <w:szCs w:val="24"/>
                <w:lang w:val="en-US" w:eastAsia="zh-CN"/>
              </w:rPr>
              <w:t>×</w:t>
            </w:r>
            <w:r>
              <w:rPr>
                <w:rFonts w:hint="eastAsia" w:ascii="宋体" w:hAnsi="宋体" w:cs="宋体"/>
                <w:b w:val="0"/>
                <w:bCs w:val="0"/>
                <w:color w:val="auto"/>
                <w:sz w:val="24"/>
                <w:szCs w:val="24"/>
                <w:lang w:val="en-US" w:eastAsia="zh-CN"/>
              </w:rPr>
              <w:t>400沟重建，下游DN600管道进行清淤，解决排水不畅导致路面积水问题。</w:t>
            </w:r>
          </w:p>
          <w:p w14:paraId="7518F6E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b w:val="0"/>
                <w:bCs w:val="0"/>
                <w:color w:val="auto"/>
                <w:sz w:val="24"/>
                <w:szCs w:val="24"/>
                <w:lang w:val="en-US" w:eastAsia="zh-CN"/>
              </w:rPr>
            </w:pPr>
            <w:r>
              <w:rPr>
                <w:rFonts w:hint="eastAsia" w:ascii="宋体" w:hAnsi="宋体" w:cs="宋体"/>
                <w:color w:val="FF0000"/>
                <w:sz w:val="24"/>
                <w:szCs w:val="24"/>
                <w:lang w:val="en-US" w:eastAsia="zh-CN"/>
              </w:rPr>
              <w:object>
                <v:shape id="_x0000_i1031" o:spt="75" type="#_x0000_t75" style="height:216.95pt;width:395.8pt;" o:ole="t" filled="f" o:preferrelative="t" stroked="t" coordsize="21600,21600">
                  <v:path/>
                  <v:fill on="f" focussize="0,0"/>
                  <v:stroke color="#000000" joinstyle="miter"/>
                  <v:imagedata r:id="rId24" o:title=""/>
                  <o:lock v:ext="edit" aspectratio="f"/>
                  <w10:wrap type="none"/>
                  <w10:anchorlock/>
                </v:shape>
                <o:OLEObject Type="Embed" ProgID="Visio.Drawing.15" ShapeID="_x0000_i1031" DrawAspect="Content" ObjectID="_1468075731" r:id="rId23">
                  <o:LockedField>false</o:LockedField>
                </o:OLEObject>
              </w:object>
            </w:r>
            <w:r>
              <w:rPr>
                <w:rFonts w:hint="eastAsia" w:ascii="宋体" w:hAnsi="宋体" w:cs="宋体"/>
                <w:color w:val="auto"/>
                <w:sz w:val="24"/>
                <w:szCs w:val="24"/>
                <w:lang w:val="en-US" w:eastAsia="zh-CN"/>
              </w:rPr>
              <w:t xml:space="preserve">图2-8  </w:t>
            </w:r>
            <w:r>
              <w:rPr>
                <w:rFonts w:hint="eastAsia" w:ascii="宋体" w:hAnsi="宋体" w:cs="宋体"/>
                <w:b w:val="0"/>
                <w:bCs w:val="0"/>
                <w:color w:val="auto"/>
                <w:sz w:val="24"/>
                <w:szCs w:val="24"/>
                <w:lang w:val="en-US" w:eastAsia="zh-CN"/>
              </w:rPr>
              <w:t>夏万路</w:t>
            </w:r>
            <w:r>
              <w:rPr>
                <w:rFonts w:hint="eastAsia" w:ascii="宋体" w:hAnsi="宋体" w:cs="宋体"/>
                <w:color w:val="auto"/>
                <w:sz w:val="24"/>
                <w:szCs w:val="24"/>
                <w:lang w:val="en-US" w:eastAsia="zh-CN"/>
              </w:rPr>
              <w:t>内涝点</w:t>
            </w:r>
          </w:p>
          <w:p w14:paraId="62CE8C2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fldChar w:fldCharType="begin"/>
            </w:r>
            <w:r>
              <w:rPr>
                <w:rFonts w:hint="eastAsia" w:ascii="宋体" w:hAnsi="宋体" w:cs="宋体"/>
                <w:b w:val="0"/>
                <w:bCs w:val="0"/>
                <w:color w:val="auto"/>
                <w:sz w:val="24"/>
                <w:szCs w:val="24"/>
                <w:lang w:val="en-US" w:eastAsia="zh-CN"/>
              </w:rPr>
              <w:instrText xml:space="preserve"> = 4 \* GB3 \* MERGEFORMAT </w:instrText>
            </w:r>
            <w:r>
              <w:rPr>
                <w:rFonts w:hint="eastAsia" w:ascii="宋体" w:hAnsi="宋体" w:cs="宋体"/>
                <w:b w:val="0"/>
                <w:bCs w:val="0"/>
                <w:color w:val="auto"/>
                <w:sz w:val="24"/>
                <w:szCs w:val="24"/>
                <w:lang w:val="en-US" w:eastAsia="zh-CN"/>
              </w:rPr>
              <w:fldChar w:fldCharType="separate"/>
            </w:r>
            <w:r>
              <w:t>④</w:t>
            </w:r>
            <w:r>
              <w:rPr>
                <w:rFonts w:hint="eastAsia" w:ascii="宋体" w:hAnsi="宋体" w:cs="宋体"/>
                <w:b w:val="0"/>
                <w:bCs w:val="0"/>
                <w:color w:val="auto"/>
                <w:sz w:val="24"/>
                <w:szCs w:val="24"/>
                <w:lang w:val="en-US" w:eastAsia="zh-CN"/>
              </w:rPr>
              <w:fldChar w:fldCharType="end"/>
            </w:r>
            <w:r>
              <w:rPr>
                <w:rFonts w:hint="eastAsia" w:ascii="宋体" w:hAnsi="宋体" w:cs="宋体"/>
                <w:b w:val="0"/>
                <w:bCs w:val="0"/>
                <w:color w:val="auto"/>
                <w:sz w:val="24"/>
                <w:szCs w:val="24"/>
                <w:lang w:val="en-US" w:eastAsia="zh-CN"/>
              </w:rPr>
              <w:t>海棠社区林场组排水整治方案</w:t>
            </w:r>
          </w:p>
          <w:p w14:paraId="0AB4C39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4"/>
                <w:szCs w:val="24"/>
                <w:lang w:val="en-US" w:eastAsia="zh-CN"/>
              </w:rPr>
            </w:pPr>
            <w:r>
              <w:rPr>
                <w:rFonts w:hint="eastAsia" w:ascii="宋体" w:hAnsi="宋体" w:cs="宋体"/>
                <w:color w:val="FF0000"/>
                <w:sz w:val="24"/>
                <w:szCs w:val="24"/>
                <w:lang w:val="en-US" w:eastAsia="zh-CN"/>
              </w:rPr>
              <w:object>
                <v:shape id="_x0000_i1032" o:spt="75" type="#_x0000_t75" style="height:224.5pt;width:395.65pt;" o:ole="t" filled="f" o:preferrelative="t" stroked="t" coordsize="21600,21600">
                  <v:path/>
                  <v:fill on="f" focussize="0,0"/>
                  <v:stroke color="#000000" joinstyle="miter"/>
                  <v:imagedata r:id="rId26" o:title=""/>
                  <o:lock v:ext="edit" aspectratio="f"/>
                  <w10:wrap type="none"/>
                  <w10:anchorlock/>
                </v:shape>
                <o:OLEObject Type="Embed" ProgID="Visio.Drawing.15" ShapeID="_x0000_i1032" DrawAspect="Content" ObjectID="_1468075732" r:id="rId25">
                  <o:LockedField>false</o:LockedField>
                </o:OLEObject>
              </w:object>
            </w:r>
            <w:r>
              <w:rPr>
                <w:rFonts w:hint="eastAsia" w:ascii="宋体" w:hAnsi="宋体" w:cs="宋体"/>
                <w:color w:val="auto"/>
                <w:sz w:val="24"/>
                <w:szCs w:val="24"/>
                <w:lang w:val="en-US" w:eastAsia="zh-CN"/>
              </w:rPr>
              <w:t xml:space="preserve">图2-9  </w:t>
            </w:r>
            <w:r>
              <w:rPr>
                <w:rFonts w:hint="eastAsia" w:ascii="宋体" w:hAnsi="宋体" w:cs="宋体"/>
                <w:b w:val="0"/>
                <w:bCs w:val="0"/>
                <w:color w:val="auto"/>
                <w:sz w:val="24"/>
                <w:szCs w:val="24"/>
                <w:lang w:val="en-US" w:eastAsia="zh-CN"/>
              </w:rPr>
              <w:t>夏万路</w:t>
            </w:r>
            <w:r>
              <w:rPr>
                <w:rFonts w:hint="eastAsia" w:ascii="宋体" w:hAnsi="宋体" w:cs="宋体"/>
                <w:color w:val="auto"/>
                <w:sz w:val="24"/>
                <w:szCs w:val="24"/>
                <w:lang w:val="en-US" w:eastAsia="zh-CN"/>
              </w:rPr>
              <w:t>内涝点</w:t>
            </w:r>
          </w:p>
          <w:p w14:paraId="46E94F6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对海棠社区林场组下游枫树新村排水主管进行清淤，修复，长度约700米，恢复排水能力，缓解本内涝点。</w:t>
            </w:r>
          </w:p>
          <w:p w14:paraId="2673A3C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b w:val="0"/>
                <w:bCs w:val="0"/>
                <w:color w:val="auto"/>
                <w:sz w:val="24"/>
                <w:szCs w:val="24"/>
                <w:lang w:val="en-US" w:eastAsia="zh-CN"/>
              </w:rPr>
            </w:pPr>
            <w:r>
              <w:rPr>
                <w:rFonts w:hint="eastAsia" w:ascii="宋体" w:hAnsi="宋体" w:cs="宋体"/>
                <w:color w:val="auto"/>
                <w:sz w:val="24"/>
                <w:szCs w:val="24"/>
                <w:lang w:val="en-US" w:eastAsia="zh-CN"/>
              </w:rPr>
              <w:object>
                <v:shape id="_x0000_i1033" o:spt="75" type="#_x0000_t75" style="height:184.1pt;width:395.75pt;" o:ole="t" filled="f" o:preferrelative="t" stroked="t" coordsize="21600,21600">
                  <v:path/>
                  <v:fill on="f" focussize="0,0"/>
                  <v:stroke color="#000000" joinstyle="miter"/>
                  <v:imagedata r:id="rId28" o:title=""/>
                  <o:lock v:ext="edit" aspectratio="f"/>
                  <w10:wrap type="none"/>
                  <w10:anchorlock/>
                </v:shape>
                <o:OLEObject Type="Embed" ProgID="Visio.Drawing.15" ShapeID="_x0000_i1033" DrawAspect="Content" ObjectID="_1468075733" r:id="rId27">
                  <o:LockedField>false</o:LockedField>
                </o:OLEObject>
              </w:object>
            </w:r>
            <w:r>
              <w:rPr>
                <w:rFonts w:hint="eastAsia" w:ascii="宋体" w:hAnsi="宋体" w:cs="宋体"/>
                <w:color w:val="auto"/>
                <w:sz w:val="24"/>
                <w:szCs w:val="24"/>
                <w:lang w:val="en-US" w:eastAsia="zh-CN"/>
              </w:rPr>
              <w:t xml:space="preserve">图2-10 </w:t>
            </w:r>
            <w:r>
              <w:rPr>
                <w:rFonts w:hint="eastAsia" w:ascii="宋体" w:hAnsi="宋体" w:cs="宋体"/>
                <w:b w:val="0"/>
                <w:bCs w:val="0"/>
                <w:color w:val="auto"/>
                <w:sz w:val="24"/>
                <w:szCs w:val="24"/>
                <w:lang w:val="en-US" w:eastAsia="zh-CN"/>
              </w:rPr>
              <w:t>夏万路</w:t>
            </w:r>
            <w:r>
              <w:rPr>
                <w:rFonts w:hint="eastAsia" w:ascii="宋体" w:hAnsi="宋体" w:cs="宋体"/>
                <w:color w:val="auto"/>
                <w:sz w:val="24"/>
                <w:szCs w:val="24"/>
                <w:lang w:val="en-US" w:eastAsia="zh-CN"/>
              </w:rPr>
              <w:t>内涝点积水照片</w:t>
            </w:r>
          </w:p>
          <w:p w14:paraId="67B4F25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fldChar w:fldCharType="begin"/>
            </w:r>
            <w:r>
              <w:rPr>
                <w:rFonts w:hint="eastAsia" w:ascii="宋体" w:hAnsi="宋体" w:cs="宋体"/>
                <w:b w:val="0"/>
                <w:bCs w:val="0"/>
                <w:color w:val="auto"/>
                <w:sz w:val="24"/>
                <w:szCs w:val="24"/>
                <w:lang w:val="en-US" w:eastAsia="zh-CN"/>
              </w:rPr>
              <w:instrText xml:space="preserve"> = 5 \* GB3 \* MERGEFORMAT </w:instrText>
            </w:r>
            <w:r>
              <w:rPr>
                <w:rFonts w:hint="eastAsia" w:ascii="宋体" w:hAnsi="宋体" w:cs="宋体"/>
                <w:b w:val="0"/>
                <w:bCs w:val="0"/>
                <w:color w:val="auto"/>
                <w:sz w:val="24"/>
                <w:szCs w:val="24"/>
                <w:lang w:val="en-US" w:eastAsia="zh-CN"/>
              </w:rPr>
              <w:fldChar w:fldCharType="separate"/>
            </w:r>
            <w:r>
              <w:t>⑤</w:t>
            </w:r>
            <w:r>
              <w:rPr>
                <w:rFonts w:hint="eastAsia" w:ascii="宋体" w:hAnsi="宋体" w:cs="宋体"/>
                <w:b w:val="0"/>
                <w:bCs w:val="0"/>
                <w:color w:val="auto"/>
                <w:sz w:val="24"/>
                <w:szCs w:val="24"/>
                <w:lang w:val="en-US" w:eastAsia="zh-CN"/>
              </w:rPr>
              <w:fldChar w:fldCharType="end"/>
            </w:r>
            <w:r>
              <w:rPr>
                <w:rFonts w:hint="eastAsia" w:ascii="宋体" w:hAnsi="宋体" w:cs="宋体"/>
                <w:b w:val="0"/>
                <w:bCs w:val="0"/>
                <w:color w:val="auto"/>
                <w:sz w:val="24"/>
                <w:szCs w:val="24"/>
                <w:lang w:val="en-US" w:eastAsia="zh-CN"/>
              </w:rPr>
              <w:t>城陵矶路跨铁路箱涵排水整治方案</w:t>
            </w:r>
          </w:p>
          <w:p w14:paraId="1F998ED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城陵矶路跨铁路箱涵地面积水处设置盖板沟，将盖板沟收集的水排至城陵矶路现状排水管道。</w:t>
            </w:r>
          </w:p>
          <w:p w14:paraId="63D2C1C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fldChar w:fldCharType="begin"/>
            </w:r>
            <w:r>
              <w:rPr>
                <w:rFonts w:hint="eastAsia" w:ascii="宋体" w:hAnsi="宋体" w:eastAsia="宋体" w:cs="宋体"/>
                <w:b w:val="0"/>
                <w:bCs w:val="0"/>
                <w:color w:val="auto"/>
                <w:sz w:val="24"/>
                <w:szCs w:val="24"/>
                <w:lang w:val="en-US" w:eastAsia="zh-CN"/>
              </w:rPr>
              <w:instrText xml:space="preserve"> = 6 \* GB3 \* MERGEFORMAT </w:instrText>
            </w:r>
            <w:r>
              <w:rPr>
                <w:rFonts w:hint="eastAsia" w:ascii="宋体" w:hAnsi="宋体" w:eastAsia="宋体" w:cs="宋体"/>
                <w:b w:val="0"/>
                <w:bCs w:val="0"/>
                <w:color w:val="auto"/>
                <w:sz w:val="24"/>
                <w:szCs w:val="24"/>
                <w:lang w:val="en-US" w:eastAsia="zh-CN"/>
              </w:rPr>
              <w:fldChar w:fldCharType="separate"/>
            </w:r>
            <w:r>
              <w:rPr>
                <w:rFonts w:hint="eastAsia" w:ascii="宋体" w:hAnsi="宋体" w:eastAsia="宋体" w:cs="宋体"/>
                <w:b w:val="0"/>
                <w:bCs w:val="0"/>
                <w:color w:val="auto"/>
                <w:sz w:val="24"/>
                <w:szCs w:val="24"/>
                <w:lang w:val="en-US" w:eastAsia="zh-CN"/>
              </w:rPr>
              <w:t>⑥</w:t>
            </w:r>
            <w:r>
              <w:rPr>
                <w:rFonts w:hint="eastAsia" w:ascii="宋体" w:hAnsi="宋体" w:eastAsia="宋体" w:cs="宋体"/>
                <w:b w:val="0"/>
                <w:bCs w:val="0"/>
                <w:color w:val="auto"/>
                <w:sz w:val="24"/>
                <w:szCs w:val="24"/>
                <w:lang w:val="en-US" w:eastAsia="zh-CN"/>
              </w:rPr>
              <w:fldChar w:fldCharType="end"/>
            </w:r>
            <w:r>
              <w:rPr>
                <w:rFonts w:hint="eastAsia" w:ascii="宋体" w:hAnsi="宋体" w:eastAsia="宋体" w:cs="宋体"/>
                <w:b w:val="0"/>
                <w:bCs w:val="0"/>
                <w:color w:val="auto"/>
                <w:sz w:val="24"/>
                <w:szCs w:val="24"/>
                <w:lang w:val="en-US" w:eastAsia="zh-CN"/>
              </w:rPr>
              <w:t>现有防洪除涝管网中堵塞点清淤</w:t>
            </w:r>
          </w:p>
          <w:p w14:paraId="75A667E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根据前期现场调研，岳阳楼区现有部分位置的旧防洪除涝管网中存在一定程度的堵塞，长度在3～10m左右，需要逐个进行清淤，以进行疏通，确保其雨期排水正常化。</w:t>
            </w:r>
          </w:p>
          <w:p w14:paraId="3FA1FC3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p>
          <w:p w14:paraId="2ABEEDC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4"/>
                <w:szCs w:val="24"/>
                <w:lang w:val="en-US" w:eastAsia="zh-CN"/>
              </w:rPr>
            </w:pPr>
            <w:r>
              <w:rPr>
                <w:rFonts w:hint="eastAsia" w:ascii="宋体" w:hAnsi="宋体" w:cs="宋体"/>
                <w:color w:val="FF0000"/>
                <w:sz w:val="24"/>
                <w:szCs w:val="24"/>
                <w:lang w:val="en-US" w:eastAsia="zh-CN"/>
              </w:rPr>
              <w:object>
                <v:shape id="_x0000_i1034" o:spt="75" type="#_x0000_t75" style="height:187.25pt;width:395.8pt;" o:ole="t" filled="f" o:preferrelative="t" stroked="t" coordsize="21600,21600">
                  <v:path/>
                  <v:fill on="f" focussize="0,0"/>
                  <v:stroke color="#000000" joinstyle="miter"/>
                  <v:imagedata r:id="rId30" o:title=""/>
                  <o:lock v:ext="edit" aspectratio="f"/>
                  <w10:wrap type="none"/>
                  <w10:anchorlock/>
                </v:shape>
                <o:OLEObject Type="Embed" ProgID="Visio.Drawing.15" ShapeID="_x0000_i1034" DrawAspect="Content" ObjectID="_1468075734" r:id="rId29">
                  <o:LockedField>false</o:LockedField>
                </o:OLEObject>
              </w:object>
            </w:r>
            <w:r>
              <w:rPr>
                <w:rFonts w:hint="eastAsia" w:ascii="宋体" w:hAnsi="宋体" w:cs="宋体"/>
                <w:color w:val="auto"/>
                <w:sz w:val="24"/>
                <w:szCs w:val="24"/>
                <w:lang w:val="en-US" w:eastAsia="zh-CN"/>
              </w:rPr>
              <w:t xml:space="preserve">图2-11  </w:t>
            </w:r>
            <w:r>
              <w:rPr>
                <w:rFonts w:hint="eastAsia" w:ascii="宋体" w:hAnsi="宋体" w:cs="宋体"/>
                <w:b w:val="0"/>
                <w:bCs w:val="0"/>
                <w:color w:val="auto"/>
                <w:sz w:val="24"/>
                <w:szCs w:val="24"/>
                <w:lang w:val="en-US" w:eastAsia="zh-CN"/>
              </w:rPr>
              <w:t>城陵矶路跨铁路箱涵</w:t>
            </w:r>
            <w:r>
              <w:rPr>
                <w:rFonts w:hint="eastAsia" w:ascii="宋体" w:hAnsi="宋体" w:cs="宋体"/>
                <w:color w:val="auto"/>
                <w:sz w:val="24"/>
                <w:szCs w:val="24"/>
                <w:lang w:val="en-US" w:eastAsia="zh-CN"/>
              </w:rPr>
              <w:t>内涝点</w:t>
            </w:r>
          </w:p>
          <w:p w14:paraId="2522D21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lang w:val="en-US" w:eastAsia="zh-CN"/>
              </w:rPr>
            </w:pPr>
          </w:p>
          <w:p w14:paraId="37F31CE7">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default" w:ascii="宋体" w:hAnsi="宋体" w:cs="宋体"/>
                <w:b/>
                <w:bCs/>
                <w:color w:val="auto"/>
                <w:sz w:val="24"/>
                <w:szCs w:val="24"/>
                <w:lang w:val="en-US" w:eastAsia="zh-CN"/>
              </w:rPr>
            </w:pPr>
            <w:r>
              <w:rPr>
                <w:rFonts w:hint="eastAsia" w:ascii="宋体" w:hAnsi="宋体" w:cs="宋体"/>
                <w:b/>
                <w:bCs/>
                <w:color w:val="auto"/>
                <w:sz w:val="24"/>
                <w:szCs w:val="24"/>
                <w:lang w:val="en-US" w:eastAsia="zh-CN"/>
              </w:rPr>
              <w:t>2、给水工程</w:t>
            </w:r>
          </w:p>
          <w:p w14:paraId="004E253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根据《岳阳市人民政府岳阳市岳阳楼区城乡供水一体化建设项目方案》要求，改善岳阳楼区梅溪街道胥家桥社区沿江组、郭镇乡和康王乡乌江村的居民饮用水问题，对老旧管网进行改造，共新建供水管99.48km，其中大于DN100给水管道41.880km，小于DN100给水管道57.6km。梅溪街道胥家桥社区沿江组供水管网7.512km、郭镇乡91.968km。</w:t>
            </w:r>
          </w:p>
          <w:p w14:paraId="0D6D4C2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（1）梅溪街道胥家桥社区沿江组供水管网</w:t>
            </w:r>
          </w:p>
          <w:p w14:paraId="2AAB5AE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原址新敷供水管7512米，各管尺寸与长度如下表，安装水表171组。</w:t>
            </w:r>
          </w:p>
          <w:p w14:paraId="702FCD40">
            <w:pPr>
              <w:pStyle w:val="19"/>
              <w:keepNext/>
              <w:keepLines w:val="0"/>
              <w:pageBreakBefore w:val="0"/>
              <w:widowControl w:val="0"/>
              <w:kinsoku/>
              <w:wordWrap/>
              <w:overflowPunct/>
              <w:topLinePunct w:val="0"/>
              <w:autoSpaceDE/>
              <w:autoSpaceDN/>
              <w:bidi w:val="0"/>
              <w:adjustRightInd/>
              <w:snapToGrid/>
              <w:spacing w:before="0"/>
              <w:textAlignment w:val="auto"/>
              <w:rPr>
                <w:rFonts w:hint="default"/>
                <w:b w:val="0"/>
                <w:bCs/>
                <w:lang w:val="en-US" w:eastAsia="zh-CN"/>
              </w:rPr>
            </w:pPr>
            <w:r>
              <w:rPr>
                <w:rFonts w:hint="eastAsia"/>
                <w:b w:val="0"/>
                <w:bCs/>
                <w:lang w:val="en-US" w:eastAsia="zh-CN"/>
              </w:rPr>
              <w:t>表2-1  沿江组供水管统计表</w:t>
            </w:r>
          </w:p>
          <w:tbl>
            <w:tblPr>
              <w:tblStyle w:val="9"/>
              <w:tblW w:w="8220"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126"/>
              <w:gridCol w:w="1127"/>
              <w:gridCol w:w="1128"/>
              <w:gridCol w:w="1128"/>
              <w:gridCol w:w="1128"/>
              <w:gridCol w:w="1128"/>
              <w:gridCol w:w="1128"/>
            </w:tblGrid>
            <w:tr w14:paraId="5C8FC8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2" w:hRule="atLeast"/>
                <w:jc w:val="center"/>
              </w:trPr>
              <w:tc>
                <w:tcPr>
                  <w:tcW w:w="1214" w:type="dxa"/>
                  <w:tcBorders>
                    <w:tl2br w:val="nil"/>
                    <w:tr2bl w:val="nil"/>
                  </w:tcBorders>
                  <w:shd w:val="clear" w:color="auto" w:fill="auto"/>
                  <w:noWrap/>
                  <w:vAlign w:val="center"/>
                </w:tcPr>
                <w:p w14:paraId="621C5E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尺寸</w:t>
                  </w:r>
                </w:p>
              </w:tc>
              <w:tc>
                <w:tcPr>
                  <w:tcW w:w="1215" w:type="dxa"/>
                  <w:tcBorders>
                    <w:tl2br w:val="nil"/>
                    <w:tr2bl w:val="nil"/>
                  </w:tcBorders>
                  <w:shd w:val="clear" w:color="auto" w:fill="auto"/>
                  <w:noWrap/>
                  <w:vAlign w:val="center"/>
                </w:tcPr>
                <w:p w14:paraId="679AC0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DN219</w:t>
                  </w:r>
                </w:p>
              </w:tc>
              <w:tc>
                <w:tcPr>
                  <w:tcW w:w="1215" w:type="dxa"/>
                  <w:tcBorders>
                    <w:tl2br w:val="nil"/>
                    <w:tr2bl w:val="nil"/>
                  </w:tcBorders>
                  <w:shd w:val="clear" w:color="auto" w:fill="auto"/>
                  <w:noWrap/>
                  <w:vAlign w:val="center"/>
                </w:tcPr>
                <w:p w14:paraId="1F99A1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DN200</w:t>
                  </w:r>
                </w:p>
              </w:tc>
              <w:tc>
                <w:tcPr>
                  <w:tcW w:w="1215" w:type="dxa"/>
                  <w:tcBorders>
                    <w:tl2br w:val="nil"/>
                    <w:tr2bl w:val="nil"/>
                  </w:tcBorders>
                  <w:shd w:val="clear" w:color="auto" w:fill="auto"/>
                  <w:noWrap/>
                  <w:vAlign w:val="center"/>
                </w:tcPr>
                <w:p w14:paraId="5F6BF2FF">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DN108</w:t>
                  </w:r>
                </w:p>
              </w:tc>
              <w:tc>
                <w:tcPr>
                  <w:tcW w:w="1215" w:type="dxa"/>
                  <w:tcBorders>
                    <w:tl2br w:val="nil"/>
                    <w:tr2bl w:val="nil"/>
                  </w:tcBorders>
                  <w:shd w:val="clear" w:color="auto" w:fill="auto"/>
                  <w:noWrap/>
                  <w:vAlign w:val="center"/>
                </w:tcPr>
                <w:p w14:paraId="154038E4">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DN100</w:t>
                  </w:r>
                </w:p>
              </w:tc>
              <w:tc>
                <w:tcPr>
                  <w:tcW w:w="1215" w:type="dxa"/>
                  <w:tcBorders>
                    <w:tl2br w:val="nil"/>
                    <w:tr2bl w:val="nil"/>
                  </w:tcBorders>
                  <w:shd w:val="clear" w:color="auto" w:fill="auto"/>
                  <w:noWrap/>
                  <w:vAlign w:val="center"/>
                </w:tcPr>
                <w:p w14:paraId="65522980">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DN54</w:t>
                  </w:r>
                </w:p>
              </w:tc>
              <w:tc>
                <w:tcPr>
                  <w:tcW w:w="1215" w:type="dxa"/>
                  <w:tcBorders>
                    <w:tl2br w:val="nil"/>
                    <w:tr2bl w:val="nil"/>
                  </w:tcBorders>
                  <w:shd w:val="clear" w:color="auto" w:fill="auto"/>
                  <w:noWrap/>
                  <w:vAlign w:val="center"/>
                </w:tcPr>
                <w:p w14:paraId="4F3B18AE">
                  <w:pPr>
                    <w:keepNext w:val="0"/>
                    <w:keepLines w:val="0"/>
                    <w:widowControl/>
                    <w:suppressLineNumbers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合计</w:t>
                  </w:r>
                </w:p>
              </w:tc>
            </w:tr>
            <w:tr w14:paraId="448C8C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72" w:hRule="atLeast"/>
                <w:jc w:val="center"/>
              </w:trPr>
              <w:tc>
                <w:tcPr>
                  <w:tcW w:w="1214" w:type="dxa"/>
                  <w:tcBorders>
                    <w:tl2br w:val="nil"/>
                    <w:tr2bl w:val="nil"/>
                  </w:tcBorders>
                  <w:shd w:val="clear" w:color="auto" w:fill="auto"/>
                  <w:noWrap/>
                  <w:vAlign w:val="center"/>
                </w:tcPr>
                <w:p w14:paraId="49F529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长度m</w:t>
                  </w:r>
                </w:p>
              </w:tc>
              <w:tc>
                <w:tcPr>
                  <w:tcW w:w="1215" w:type="dxa"/>
                  <w:tcBorders>
                    <w:tl2br w:val="nil"/>
                    <w:tr2bl w:val="nil"/>
                  </w:tcBorders>
                  <w:shd w:val="clear" w:color="auto" w:fill="auto"/>
                  <w:noWrap/>
                  <w:vAlign w:val="center"/>
                </w:tcPr>
                <w:p w14:paraId="71BCF0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54</w:t>
                  </w:r>
                </w:p>
              </w:tc>
              <w:tc>
                <w:tcPr>
                  <w:tcW w:w="1215" w:type="dxa"/>
                  <w:tcBorders>
                    <w:tl2br w:val="nil"/>
                    <w:tr2bl w:val="nil"/>
                  </w:tcBorders>
                  <w:shd w:val="clear" w:color="auto" w:fill="auto"/>
                  <w:noWrap/>
                  <w:vAlign w:val="center"/>
                </w:tcPr>
                <w:p w14:paraId="29C739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150</w:t>
                  </w:r>
                </w:p>
              </w:tc>
              <w:tc>
                <w:tcPr>
                  <w:tcW w:w="1215" w:type="dxa"/>
                  <w:tcBorders>
                    <w:tl2br w:val="nil"/>
                    <w:tr2bl w:val="nil"/>
                  </w:tcBorders>
                  <w:shd w:val="clear" w:color="auto" w:fill="auto"/>
                  <w:noWrap/>
                  <w:vAlign w:val="center"/>
                </w:tcPr>
                <w:p w14:paraId="3F5FA85F">
                  <w:pPr>
                    <w:keepNext w:val="0"/>
                    <w:keepLines w:val="0"/>
                    <w:widowControl/>
                    <w:suppressLineNumbers w:val="0"/>
                    <w:jc w:val="center"/>
                    <w:textAlignment w:val="center"/>
                    <w:rPr>
                      <w:rFonts w:hint="eastAsia" w:ascii="宋体" w:hAnsi="宋体" w:eastAsia="宋体" w:cs="宋体"/>
                      <w:i w:val="0"/>
                      <w:iCs w:val="0"/>
                      <w:color w:val="000000"/>
                      <w:kern w:val="2"/>
                      <w:sz w:val="22"/>
                      <w:szCs w:val="22"/>
                      <w:u w:val="none"/>
                      <w:lang w:val="en-US" w:eastAsia="zh-CN" w:bidi="ar-SA"/>
                    </w:rPr>
                  </w:pPr>
                  <w:r>
                    <w:rPr>
                      <w:rFonts w:hint="eastAsia" w:ascii="宋体" w:hAnsi="宋体" w:eastAsia="宋体" w:cs="宋体"/>
                      <w:i w:val="0"/>
                      <w:iCs w:val="0"/>
                      <w:color w:val="000000"/>
                      <w:kern w:val="0"/>
                      <w:sz w:val="22"/>
                      <w:szCs w:val="22"/>
                      <w:u w:val="none"/>
                      <w:lang w:val="en-US" w:eastAsia="zh-CN" w:bidi="ar"/>
                    </w:rPr>
                    <w:t>48</w:t>
                  </w:r>
                </w:p>
              </w:tc>
              <w:tc>
                <w:tcPr>
                  <w:tcW w:w="1215" w:type="dxa"/>
                  <w:tcBorders>
                    <w:tl2br w:val="nil"/>
                    <w:tr2bl w:val="nil"/>
                  </w:tcBorders>
                  <w:shd w:val="clear" w:color="auto" w:fill="auto"/>
                  <w:noWrap/>
                  <w:vAlign w:val="center"/>
                </w:tcPr>
                <w:p w14:paraId="3D18538A">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2496</w:t>
                  </w:r>
                </w:p>
              </w:tc>
              <w:tc>
                <w:tcPr>
                  <w:tcW w:w="1215" w:type="dxa"/>
                  <w:tcBorders>
                    <w:tl2br w:val="nil"/>
                    <w:tr2bl w:val="nil"/>
                  </w:tcBorders>
                  <w:shd w:val="clear" w:color="auto" w:fill="auto"/>
                  <w:noWrap/>
                  <w:vAlign w:val="center"/>
                </w:tcPr>
                <w:p w14:paraId="09865CC4">
                  <w:pPr>
                    <w:keepNext w:val="0"/>
                    <w:keepLines w:val="0"/>
                    <w:widowControl/>
                    <w:suppressLineNumbers w:val="0"/>
                    <w:jc w:val="center"/>
                    <w:textAlignment w:val="center"/>
                    <w:rPr>
                      <w:rFonts w:hint="eastAsia" w:ascii="宋体" w:hAnsi="宋体" w:eastAsia="宋体" w:cs="宋体"/>
                      <w:i w:val="0"/>
                      <w:iCs w:val="0"/>
                      <w:color w:val="000000"/>
                      <w:kern w:val="2"/>
                      <w:sz w:val="22"/>
                      <w:szCs w:val="22"/>
                      <w:u w:val="none"/>
                      <w:lang w:val="en-US" w:eastAsia="zh-CN" w:bidi="ar-SA"/>
                    </w:rPr>
                  </w:pPr>
                  <w:r>
                    <w:rPr>
                      <w:rFonts w:hint="eastAsia" w:ascii="宋体" w:hAnsi="宋体" w:eastAsia="宋体" w:cs="宋体"/>
                      <w:i w:val="0"/>
                      <w:iCs w:val="0"/>
                      <w:color w:val="000000"/>
                      <w:kern w:val="0"/>
                      <w:sz w:val="22"/>
                      <w:szCs w:val="22"/>
                      <w:u w:val="none"/>
                      <w:lang w:val="en-US" w:eastAsia="zh-CN" w:bidi="ar"/>
                    </w:rPr>
                    <w:t>4764</w:t>
                  </w:r>
                </w:p>
              </w:tc>
              <w:tc>
                <w:tcPr>
                  <w:tcW w:w="1215" w:type="dxa"/>
                  <w:tcBorders>
                    <w:tl2br w:val="nil"/>
                    <w:tr2bl w:val="nil"/>
                  </w:tcBorders>
                  <w:shd w:val="clear" w:color="auto" w:fill="auto"/>
                  <w:noWrap/>
                  <w:vAlign w:val="center"/>
                </w:tcPr>
                <w:p w14:paraId="1B36953E">
                  <w:pPr>
                    <w:keepNext w:val="0"/>
                    <w:keepLines w:val="0"/>
                    <w:widowControl/>
                    <w:suppressLineNumbers w:val="0"/>
                    <w:jc w:val="center"/>
                    <w:textAlignment w:val="center"/>
                    <w:rPr>
                      <w:rFonts w:hint="default" w:ascii="宋体" w:hAnsi="宋体" w:eastAsia="宋体" w:cs="宋体"/>
                      <w:i w:val="0"/>
                      <w:iCs w:val="0"/>
                      <w:color w:val="000000"/>
                      <w:kern w:val="2"/>
                      <w:sz w:val="22"/>
                      <w:szCs w:val="22"/>
                      <w:u w:val="none"/>
                      <w:lang w:val="en-US" w:eastAsia="zh-CN" w:bidi="ar-SA"/>
                    </w:rPr>
                  </w:pPr>
                  <w:r>
                    <w:rPr>
                      <w:rFonts w:hint="eastAsia" w:ascii="宋体" w:hAnsi="宋体" w:cs="宋体"/>
                      <w:i w:val="0"/>
                      <w:iCs w:val="0"/>
                      <w:color w:val="000000"/>
                      <w:kern w:val="2"/>
                      <w:sz w:val="22"/>
                      <w:szCs w:val="22"/>
                      <w:u w:val="none"/>
                      <w:lang w:val="en-US" w:eastAsia="zh-CN" w:bidi="ar-SA"/>
                    </w:rPr>
                    <w:t>7512</w:t>
                  </w:r>
                </w:p>
              </w:tc>
            </w:tr>
          </w:tbl>
          <w:p w14:paraId="3B9BEFC3">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0" w:firstLineChars="0"/>
              <w:jc w:val="left"/>
              <w:textAlignment w:val="auto"/>
              <w:rPr>
                <w:rFonts w:hint="eastAsia" w:ascii="宋体" w:hAnsi="宋体" w:cs="宋体"/>
                <w:b w:val="0"/>
                <w:bCs w:val="0"/>
                <w:color w:val="auto"/>
                <w:sz w:val="24"/>
                <w:szCs w:val="24"/>
                <w:lang w:val="en-US" w:eastAsia="zh-CN"/>
              </w:rPr>
            </w:pPr>
            <w:r>
              <w:drawing>
                <wp:inline distT="0" distB="0" distL="114300" distR="114300">
                  <wp:extent cx="5057140" cy="2649220"/>
                  <wp:effectExtent l="0" t="0" r="10160" b="1778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31"/>
                          <a:stretch>
                            <a:fillRect/>
                          </a:stretch>
                        </pic:blipFill>
                        <pic:spPr>
                          <a:xfrm>
                            <a:off x="0" y="0"/>
                            <a:ext cx="5057140" cy="2649220"/>
                          </a:xfrm>
                          <a:prstGeom prst="rect">
                            <a:avLst/>
                          </a:prstGeom>
                          <a:noFill/>
                          <a:ln>
                            <a:noFill/>
                          </a:ln>
                        </pic:spPr>
                      </pic:pic>
                    </a:graphicData>
                  </a:graphic>
                </wp:inline>
              </w:drawing>
            </w:r>
          </w:p>
          <w:p w14:paraId="70904FFA">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center"/>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图2-12  梅溪街道胥家桥社区沿江组供水管网范围图</w:t>
            </w:r>
          </w:p>
          <w:p w14:paraId="138A392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（2）奇家郭镇城乡供水一体化工程</w:t>
            </w:r>
          </w:p>
          <w:p w14:paraId="6BE267B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郭镇乡部分旧管址新建管线40210米，解决3614户居民及单位用水。</w:t>
            </w:r>
          </w:p>
          <w:p w14:paraId="73236BEE">
            <w:pPr>
              <w:keepNext w:val="0"/>
              <w:keepLines w:val="0"/>
              <w:pageBreakBefore w:val="0"/>
              <w:widowControl w:val="0"/>
              <w:kinsoku/>
              <w:wordWrap/>
              <w:overflowPunct/>
              <w:topLinePunct w:val="0"/>
              <w:autoSpaceDE/>
              <w:autoSpaceDN/>
              <w:bidi w:val="0"/>
              <w:adjustRightInd w:val="0"/>
              <w:snapToGrid w:val="0"/>
              <w:spacing w:before="157" w:beforeLines="50" w:line="240" w:lineRule="auto"/>
              <w:ind w:firstLine="0" w:firstLineChars="0"/>
              <w:jc w:val="left"/>
              <w:textAlignment w:val="auto"/>
              <w:rPr>
                <w:rFonts w:hint="eastAsia" w:ascii="宋体" w:hAnsi="宋体" w:cs="宋体"/>
                <w:b w:val="0"/>
                <w:bCs w:val="0"/>
                <w:color w:val="auto"/>
                <w:sz w:val="24"/>
                <w:szCs w:val="24"/>
                <w:lang w:val="en-US" w:eastAsia="zh-CN"/>
              </w:rPr>
            </w:pPr>
            <w:r>
              <w:drawing>
                <wp:inline distT="0" distB="0" distL="114300" distR="114300">
                  <wp:extent cx="5040630" cy="2856865"/>
                  <wp:effectExtent l="9525" t="9525" r="17145" b="1016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32"/>
                          <a:stretch>
                            <a:fillRect/>
                          </a:stretch>
                        </pic:blipFill>
                        <pic:spPr>
                          <a:xfrm>
                            <a:off x="0" y="0"/>
                            <a:ext cx="5040630" cy="2856865"/>
                          </a:xfrm>
                          <a:prstGeom prst="rect">
                            <a:avLst/>
                          </a:prstGeom>
                          <a:noFill/>
                          <a:ln>
                            <a:solidFill>
                              <a:schemeClr val="tx1"/>
                            </a:solidFill>
                          </a:ln>
                        </pic:spPr>
                      </pic:pic>
                    </a:graphicData>
                  </a:graphic>
                </wp:inline>
              </w:drawing>
            </w:r>
          </w:p>
          <w:p w14:paraId="10671CA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center"/>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图2-13  郭镇乡供水管网范围图</w:t>
            </w:r>
          </w:p>
          <w:p w14:paraId="4F603BE7">
            <w:pPr>
              <w:pStyle w:val="19"/>
              <w:keepNext/>
              <w:keepLines w:val="0"/>
              <w:pageBreakBefore w:val="0"/>
              <w:widowControl w:val="0"/>
              <w:kinsoku/>
              <w:wordWrap/>
              <w:overflowPunct/>
              <w:topLinePunct w:val="0"/>
              <w:autoSpaceDE/>
              <w:autoSpaceDN/>
              <w:bidi w:val="0"/>
              <w:adjustRightInd/>
              <w:snapToGrid/>
              <w:spacing w:before="0"/>
              <w:textAlignment w:val="auto"/>
              <w:rPr>
                <w:rFonts w:hint="default"/>
                <w:b w:val="0"/>
                <w:bCs/>
                <w:lang w:val="en-US" w:eastAsia="zh-CN"/>
              </w:rPr>
            </w:pPr>
            <w:r>
              <w:rPr>
                <w:rFonts w:hint="eastAsia"/>
                <w:b w:val="0"/>
                <w:bCs/>
                <w:lang w:val="en-US" w:eastAsia="zh-CN"/>
              </w:rPr>
              <w:t>表2-2  郭镇乡供水管统计表</w:t>
            </w:r>
          </w:p>
          <w:tbl>
            <w:tblPr>
              <w:tblStyle w:val="9"/>
              <w:tblW w:w="7825"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955"/>
              <w:gridCol w:w="955"/>
              <w:gridCol w:w="956"/>
              <w:gridCol w:w="956"/>
              <w:gridCol w:w="1135"/>
              <w:gridCol w:w="956"/>
              <w:gridCol w:w="956"/>
              <w:gridCol w:w="956"/>
            </w:tblGrid>
            <w:tr w14:paraId="513DCB4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72" w:hRule="atLeast"/>
                <w:jc w:val="center"/>
              </w:trPr>
              <w:tc>
                <w:tcPr>
                  <w:tcW w:w="955" w:type="dxa"/>
                  <w:tcBorders>
                    <w:tl2br w:val="nil"/>
                    <w:tr2bl w:val="nil"/>
                  </w:tcBorders>
                  <w:shd w:val="clear" w:color="auto" w:fill="auto"/>
                  <w:noWrap/>
                  <w:vAlign w:val="center"/>
                </w:tcPr>
                <w:p w14:paraId="6EF6AC6A">
                  <w:pPr>
                    <w:jc w:val="center"/>
                    <w:rPr>
                      <w:rFonts w:hint="eastAsia" w:ascii="宋体" w:hAnsi="宋体" w:eastAsia="宋体" w:cs="宋体"/>
                      <w:i w:val="0"/>
                      <w:iCs w:val="0"/>
                      <w:color w:val="000000"/>
                      <w:sz w:val="22"/>
                      <w:szCs w:val="22"/>
                      <w:u w:val="none"/>
                    </w:rPr>
                  </w:pPr>
                </w:p>
              </w:tc>
              <w:tc>
                <w:tcPr>
                  <w:tcW w:w="955" w:type="dxa"/>
                  <w:tcBorders>
                    <w:tl2br w:val="nil"/>
                    <w:tr2bl w:val="nil"/>
                  </w:tcBorders>
                  <w:shd w:val="clear" w:color="auto" w:fill="auto"/>
                  <w:noWrap/>
                  <w:vAlign w:val="center"/>
                </w:tcPr>
                <w:p w14:paraId="03866A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尺寸</w:t>
                  </w:r>
                </w:p>
              </w:tc>
              <w:tc>
                <w:tcPr>
                  <w:tcW w:w="956" w:type="dxa"/>
                  <w:tcBorders>
                    <w:tl2br w:val="nil"/>
                    <w:tr2bl w:val="nil"/>
                  </w:tcBorders>
                  <w:shd w:val="clear" w:color="auto" w:fill="auto"/>
                  <w:noWrap/>
                  <w:vAlign w:val="center"/>
                </w:tcPr>
                <w:p w14:paraId="7064F4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DN300</w:t>
                  </w:r>
                </w:p>
              </w:tc>
              <w:tc>
                <w:tcPr>
                  <w:tcW w:w="956" w:type="dxa"/>
                  <w:tcBorders>
                    <w:tl2br w:val="nil"/>
                    <w:tr2bl w:val="nil"/>
                  </w:tcBorders>
                  <w:shd w:val="clear" w:color="auto" w:fill="auto"/>
                  <w:noWrap/>
                  <w:vAlign w:val="center"/>
                </w:tcPr>
                <w:p w14:paraId="28A60F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DN200</w:t>
                  </w:r>
                </w:p>
              </w:tc>
              <w:tc>
                <w:tcPr>
                  <w:tcW w:w="1135" w:type="dxa"/>
                  <w:tcBorders>
                    <w:tl2br w:val="nil"/>
                    <w:tr2bl w:val="nil"/>
                  </w:tcBorders>
                  <w:shd w:val="clear" w:color="auto" w:fill="auto"/>
                  <w:noWrap/>
                  <w:vAlign w:val="center"/>
                </w:tcPr>
                <w:p w14:paraId="73CE1F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DN150</w:t>
                  </w:r>
                </w:p>
              </w:tc>
              <w:tc>
                <w:tcPr>
                  <w:tcW w:w="956" w:type="dxa"/>
                  <w:tcBorders>
                    <w:tl2br w:val="nil"/>
                    <w:tr2bl w:val="nil"/>
                  </w:tcBorders>
                  <w:shd w:val="clear" w:color="auto" w:fill="auto"/>
                  <w:noWrap/>
                  <w:vAlign w:val="center"/>
                </w:tcPr>
                <w:p w14:paraId="68E6A4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DN100</w:t>
                  </w:r>
                </w:p>
              </w:tc>
              <w:tc>
                <w:tcPr>
                  <w:tcW w:w="956" w:type="dxa"/>
                  <w:tcBorders>
                    <w:tl2br w:val="nil"/>
                    <w:tr2bl w:val="nil"/>
                  </w:tcBorders>
                  <w:shd w:val="clear" w:color="auto" w:fill="auto"/>
                  <w:noWrap/>
                  <w:vAlign w:val="center"/>
                </w:tcPr>
                <w:p w14:paraId="141FCC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DN50</w:t>
                  </w:r>
                </w:p>
              </w:tc>
              <w:tc>
                <w:tcPr>
                  <w:tcW w:w="956" w:type="dxa"/>
                  <w:tcBorders>
                    <w:tl2br w:val="nil"/>
                    <w:tr2bl w:val="nil"/>
                  </w:tcBorders>
                  <w:shd w:val="clear" w:color="auto" w:fill="auto"/>
                  <w:noWrap/>
                  <w:vAlign w:val="center"/>
                </w:tcPr>
                <w:p w14:paraId="5DB9F8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合计</w:t>
                  </w:r>
                </w:p>
              </w:tc>
            </w:tr>
            <w:tr w14:paraId="57C69F5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72" w:hRule="atLeast"/>
                <w:jc w:val="center"/>
              </w:trPr>
              <w:tc>
                <w:tcPr>
                  <w:tcW w:w="955" w:type="dxa"/>
                  <w:tcBorders>
                    <w:tl2br w:val="nil"/>
                    <w:tr2bl w:val="nil"/>
                  </w:tcBorders>
                  <w:shd w:val="clear" w:color="auto" w:fill="auto"/>
                  <w:noWrap/>
                  <w:vAlign w:val="center"/>
                </w:tcPr>
                <w:p w14:paraId="40DD6D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郭镇乡</w:t>
                  </w:r>
                </w:p>
              </w:tc>
              <w:tc>
                <w:tcPr>
                  <w:tcW w:w="955" w:type="dxa"/>
                  <w:tcBorders>
                    <w:tl2br w:val="nil"/>
                    <w:tr2bl w:val="nil"/>
                  </w:tcBorders>
                  <w:shd w:val="clear" w:color="auto" w:fill="auto"/>
                  <w:noWrap/>
                  <w:vAlign w:val="center"/>
                </w:tcPr>
                <w:p w14:paraId="15F153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长度m</w:t>
                  </w:r>
                </w:p>
              </w:tc>
              <w:tc>
                <w:tcPr>
                  <w:tcW w:w="956" w:type="dxa"/>
                  <w:tcBorders>
                    <w:tl2br w:val="nil"/>
                    <w:tr2bl w:val="nil"/>
                  </w:tcBorders>
                  <w:shd w:val="clear" w:color="auto" w:fill="auto"/>
                  <w:noWrap/>
                  <w:vAlign w:val="center"/>
                </w:tcPr>
                <w:p w14:paraId="4DBD5E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2922</w:t>
                  </w:r>
                </w:p>
              </w:tc>
              <w:tc>
                <w:tcPr>
                  <w:tcW w:w="956" w:type="dxa"/>
                  <w:tcBorders>
                    <w:tl2br w:val="nil"/>
                    <w:tr2bl w:val="nil"/>
                  </w:tcBorders>
                  <w:shd w:val="clear" w:color="auto" w:fill="auto"/>
                  <w:noWrap/>
                  <w:vAlign w:val="center"/>
                </w:tcPr>
                <w:p w14:paraId="0AAB2E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4476</w:t>
                  </w:r>
                </w:p>
              </w:tc>
              <w:tc>
                <w:tcPr>
                  <w:tcW w:w="1135" w:type="dxa"/>
                  <w:tcBorders>
                    <w:tl2br w:val="nil"/>
                    <w:tr2bl w:val="nil"/>
                  </w:tcBorders>
                  <w:shd w:val="clear" w:color="auto" w:fill="auto"/>
                  <w:noWrap/>
                  <w:vAlign w:val="center"/>
                </w:tcPr>
                <w:p w14:paraId="2B893E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6702</w:t>
                  </w:r>
                </w:p>
              </w:tc>
              <w:tc>
                <w:tcPr>
                  <w:tcW w:w="956" w:type="dxa"/>
                  <w:tcBorders>
                    <w:tl2br w:val="nil"/>
                    <w:tr2bl w:val="nil"/>
                  </w:tcBorders>
                  <w:shd w:val="clear" w:color="auto" w:fill="auto"/>
                  <w:noWrap/>
                  <w:vAlign w:val="center"/>
                </w:tcPr>
                <w:p w14:paraId="377FA6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12162</w:t>
                  </w:r>
                </w:p>
              </w:tc>
              <w:tc>
                <w:tcPr>
                  <w:tcW w:w="956" w:type="dxa"/>
                  <w:tcBorders>
                    <w:tl2br w:val="nil"/>
                    <w:tr2bl w:val="nil"/>
                  </w:tcBorders>
                  <w:shd w:val="clear" w:color="auto" w:fill="auto"/>
                  <w:noWrap/>
                  <w:vAlign w:val="center"/>
                </w:tcPr>
                <w:p w14:paraId="7A44E3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13948</w:t>
                  </w:r>
                </w:p>
              </w:tc>
              <w:tc>
                <w:tcPr>
                  <w:tcW w:w="956" w:type="dxa"/>
                  <w:tcBorders>
                    <w:tl2br w:val="nil"/>
                    <w:tr2bl w:val="nil"/>
                  </w:tcBorders>
                  <w:shd w:val="clear" w:color="auto" w:fill="auto"/>
                  <w:noWrap/>
                  <w:vAlign w:val="center"/>
                </w:tcPr>
                <w:p w14:paraId="68256E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40210</w:t>
                  </w:r>
                </w:p>
              </w:tc>
            </w:tr>
            <w:tr w14:paraId="5DDAB55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72" w:hRule="atLeast"/>
                <w:jc w:val="center"/>
              </w:trPr>
              <w:tc>
                <w:tcPr>
                  <w:tcW w:w="955" w:type="dxa"/>
                  <w:tcBorders>
                    <w:tl2br w:val="nil"/>
                    <w:tr2bl w:val="nil"/>
                  </w:tcBorders>
                  <w:shd w:val="clear" w:color="auto" w:fill="auto"/>
                  <w:noWrap/>
                  <w:vAlign w:val="center"/>
                </w:tcPr>
                <w:p w14:paraId="2B5C6F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蔡家组</w:t>
                  </w:r>
                </w:p>
              </w:tc>
              <w:tc>
                <w:tcPr>
                  <w:tcW w:w="955" w:type="dxa"/>
                  <w:tcBorders>
                    <w:tl2br w:val="nil"/>
                    <w:tr2bl w:val="nil"/>
                  </w:tcBorders>
                  <w:shd w:val="clear" w:color="auto" w:fill="auto"/>
                  <w:noWrap/>
                  <w:vAlign w:val="center"/>
                </w:tcPr>
                <w:p w14:paraId="1BE89B67">
                  <w:pPr>
                    <w:jc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长度m</w:t>
                  </w:r>
                </w:p>
              </w:tc>
              <w:tc>
                <w:tcPr>
                  <w:tcW w:w="956" w:type="dxa"/>
                  <w:tcBorders>
                    <w:tl2br w:val="nil"/>
                    <w:tr2bl w:val="nil"/>
                  </w:tcBorders>
                  <w:shd w:val="clear" w:color="auto" w:fill="auto"/>
                  <w:noWrap/>
                  <w:vAlign w:val="center"/>
                </w:tcPr>
                <w:p w14:paraId="1D81AE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w:t>
                  </w:r>
                </w:p>
              </w:tc>
              <w:tc>
                <w:tcPr>
                  <w:tcW w:w="956" w:type="dxa"/>
                  <w:tcBorders>
                    <w:tl2br w:val="nil"/>
                    <w:tr2bl w:val="nil"/>
                  </w:tcBorders>
                  <w:shd w:val="clear" w:color="auto" w:fill="auto"/>
                  <w:noWrap/>
                  <w:vAlign w:val="center"/>
                </w:tcPr>
                <w:p w14:paraId="17074E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4984</w:t>
                  </w:r>
                </w:p>
              </w:tc>
              <w:tc>
                <w:tcPr>
                  <w:tcW w:w="1135" w:type="dxa"/>
                  <w:tcBorders>
                    <w:tl2br w:val="nil"/>
                    <w:tr2bl w:val="nil"/>
                  </w:tcBorders>
                  <w:shd w:val="clear" w:color="auto" w:fill="auto"/>
                  <w:noWrap/>
                  <w:vAlign w:val="center"/>
                </w:tcPr>
                <w:p w14:paraId="222413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7652</w:t>
                  </w:r>
                </w:p>
              </w:tc>
              <w:tc>
                <w:tcPr>
                  <w:tcW w:w="956" w:type="dxa"/>
                  <w:tcBorders>
                    <w:tl2br w:val="nil"/>
                    <w:tr2bl w:val="nil"/>
                  </w:tcBorders>
                  <w:shd w:val="clear" w:color="auto" w:fill="auto"/>
                  <w:noWrap/>
                  <w:vAlign w:val="center"/>
                </w:tcPr>
                <w:p w14:paraId="604642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2526</w:t>
                  </w:r>
                </w:p>
              </w:tc>
              <w:tc>
                <w:tcPr>
                  <w:tcW w:w="956" w:type="dxa"/>
                  <w:tcBorders>
                    <w:tl2br w:val="nil"/>
                    <w:tr2bl w:val="nil"/>
                  </w:tcBorders>
                  <w:shd w:val="clear" w:color="auto" w:fill="auto"/>
                  <w:noWrap/>
                  <w:vAlign w:val="center"/>
                </w:tcPr>
                <w:p w14:paraId="30D09D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8908</w:t>
                  </w:r>
                </w:p>
              </w:tc>
              <w:tc>
                <w:tcPr>
                  <w:tcW w:w="956" w:type="dxa"/>
                  <w:tcBorders>
                    <w:tl2br w:val="nil"/>
                    <w:tr2bl w:val="nil"/>
                  </w:tcBorders>
                  <w:shd w:val="clear" w:color="auto" w:fill="auto"/>
                  <w:noWrap/>
                  <w:vAlign w:val="center"/>
                </w:tcPr>
                <w:p w14:paraId="0279F3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24070</w:t>
                  </w:r>
                </w:p>
              </w:tc>
            </w:tr>
            <w:tr w14:paraId="795B704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72" w:hRule="atLeast"/>
                <w:jc w:val="center"/>
              </w:trPr>
              <w:tc>
                <w:tcPr>
                  <w:tcW w:w="955" w:type="dxa"/>
                  <w:tcBorders>
                    <w:tl2br w:val="nil"/>
                    <w:tr2bl w:val="nil"/>
                  </w:tcBorders>
                  <w:shd w:val="clear" w:color="auto" w:fill="auto"/>
                  <w:noWrap/>
                  <w:vAlign w:val="center"/>
                </w:tcPr>
                <w:p w14:paraId="7A4F34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仓田村</w:t>
                  </w:r>
                </w:p>
              </w:tc>
              <w:tc>
                <w:tcPr>
                  <w:tcW w:w="955" w:type="dxa"/>
                  <w:tcBorders>
                    <w:tl2br w:val="nil"/>
                    <w:tr2bl w:val="nil"/>
                  </w:tcBorders>
                  <w:shd w:val="clear" w:color="auto" w:fill="auto"/>
                  <w:noWrap/>
                  <w:vAlign w:val="center"/>
                </w:tcPr>
                <w:p w14:paraId="172FC573">
                  <w:pPr>
                    <w:jc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长度m</w:t>
                  </w:r>
                </w:p>
              </w:tc>
              <w:tc>
                <w:tcPr>
                  <w:tcW w:w="956" w:type="dxa"/>
                  <w:tcBorders>
                    <w:tl2br w:val="nil"/>
                    <w:tr2bl w:val="nil"/>
                  </w:tcBorders>
                  <w:shd w:val="clear" w:color="auto" w:fill="auto"/>
                  <w:noWrap/>
                  <w:vAlign w:val="center"/>
                </w:tcPr>
                <w:p w14:paraId="03C520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w:t>
                  </w:r>
                </w:p>
              </w:tc>
              <w:tc>
                <w:tcPr>
                  <w:tcW w:w="956" w:type="dxa"/>
                  <w:tcBorders>
                    <w:tl2br w:val="nil"/>
                    <w:tr2bl w:val="nil"/>
                  </w:tcBorders>
                  <w:shd w:val="clear" w:color="auto" w:fill="auto"/>
                  <w:noWrap/>
                  <w:vAlign w:val="center"/>
                </w:tcPr>
                <w:p w14:paraId="3EAEA6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8948</w:t>
                  </w:r>
                </w:p>
              </w:tc>
              <w:tc>
                <w:tcPr>
                  <w:tcW w:w="1135" w:type="dxa"/>
                  <w:tcBorders>
                    <w:tl2br w:val="nil"/>
                    <w:tr2bl w:val="nil"/>
                  </w:tcBorders>
                  <w:shd w:val="clear" w:color="auto" w:fill="auto"/>
                  <w:noWrap/>
                  <w:vAlign w:val="center"/>
                </w:tcPr>
                <w:p w14:paraId="3102E3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5944</w:t>
                  </w:r>
                </w:p>
              </w:tc>
              <w:tc>
                <w:tcPr>
                  <w:tcW w:w="956" w:type="dxa"/>
                  <w:tcBorders>
                    <w:tl2br w:val="nil"/>
                    <w:tr2bl w:val="nil"/>
                  </w:tcBorders>
                  <w:shd w:val="clear" w:color="auto" w:fill="auto"/>
                  <w:noWrap/>
                  <w:vAlign w:val="center"/>
                </w:tcPr>
                <w:p w14:paraId="45545F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6516</w:t>
                  </w:r>
                </w:p>
              </w:tc>
              <w:tc>
                <w:tcPr>
                  <w:tcW w:w="956" w:type="dxa"/>
                  <w:tcBorders>
                    <w:tl2br w:val="nil"/>
                    <w:tr2bl w:val="nil"/>
                  </w:tcBorders>
                  <w:shd w:val="clear" w:color="auto" w:fill="auto"/>
                  <w:noWrap/>
                  <w:vAlign w:val="center"/>
                </w:tcPr>
                <w:p w14:paraId="7C391C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6280</w:t>
                  </w:r>
                </w:p>
              </w:tc>
              <w:tc>
                <w:tcPr>
                  <w:tcW w:w="956" w:type="dxa"/>
                  <w:tcBorders>
                    <w:tl2br w:val="nil"/>
                    <w:tr2bl w:val="nil"/>
                  </w:tcBorders>
                  <w:shd w:val="clear" w:color="auto" w:fill="auto"/>
                  <w:noWrap/>
                  <w:vAlign w:val="center"/>
                </w:tcPr>
                <w:p w14:paraId="1CA0DE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27688</w:t>
                  </w:r>
                </w:p>
              </w:tc>
            </w:tr>
            <w:tr w14:paraId="1C64946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72" w:hRule="atLeast"/>
                <w:jc w:val="center"/>
              </w:trPr>
              <w:tc>
                <w:tcPr>
                  <w:tcW w:w="955" w:type="dxa"/>
                  <w:tcBorders>
                    <w:tl2br w:val="nil"/>
                    <w:tr2bl w:val="nil"/>
                  </w:tcBorders>
                  <w:shd w:val="clear" w:color="auto" w:fill="auto"/>
                  <w:noWrap/>
                  <w:vAlign w:val="center"/>
                </w:tcPr>
                <w:p w14:paraId="6A5229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合计</w:t>
                  </w:r>
                </w:p>
              </w:tc>
              <w:tc>
                <w:tcPr>
                  <w:tcW w:w="955" w:type="dxa"/>
                  <w:tcBorders>
                    <w:tl2br w:val="nil"/>
                    <w:tr2bl w:val="nil"/>
                  </w:tcBorders>
                  <w:shd w:val="clear" w:color="auto" w:fill="auto"/>
                  <w:noWrap/>
                  <w:vAlign w:val="center"/>
                </w:tcPr>
                <w:p w14:paraId="75FFEE2A">
                  <w:pPr>
                    <w:jc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长度m</w:t>
                  </w:r>
                </w:p>
              </w:tc>
              <w:tc>
                <w:tcPr>
                  <w:tcW w:w="956" w:type="dxa"/>
                  <w:tcBorders>
                    <w:tl2br w:val="nil"/>
                    <w:tr2bl w:val="nil"/>
                  </w:tcBorders>
                  <w:shd w:val="clear" w:color="auto" w:fill="auto"/>
                  <w:noWrap/>
                  <w:vAlign w:val="center"/>
                </w:tcPr>
                <w:p w14:paraId="04A9AA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2922</w:t>
                  </w:r>
                </w:p>
              </w:tc>
              <w:tc>
                <w:tcPr>
                  <w:tcW w:w="956" w:type="dxa"/>
                  <w:tcBorders>
                    <w:tl2br w:val="nil"/>
                    <w:tr2bl w:val="nil"/>
                  </w:tcBorders>
                  <w:shd w:val="clear" w:color="auto" w:fill="auto"/>
                  <w:noWrap/>
                  <w:vAlign w:val="center"/>
                </w:tcPr>
                <w:p w14:paraId="0F97D5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18408</w:t>
                  </w:r>
                </w:p>
              </w:tc>
              <w:tc>
                <w:tcPr>
                  <w:tcW w:w="1135" w:type="dxa"/>
                  <w:tcBorders>
                    <w:tl2br w:val="nil"/>
                    <w:tr2bl w:val="nil"/>
                  </w:tcBorders>
                  <w:shd w:val="clear" w:color="auto" w:fill="auto"/>
                  <w:noWrap/>
                  <w:vAlign w:val="center"/>
                </w:tcPr>
                <w:p w14:paraId="7F4D22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20298</w:t>
                  </w:r>
                </w:p>
              </w:tc>
              <w:tc>
                <w:tcPr>
                  <w:tcW w:w="956" w:type="dxa"/>
                  <w:tcBorders>
                    <w:tl2br w:val="nil"/>
                    <w:tr2bl w:val="nil"/>
                  </w:tcBorders>
                  <w:shd w:val="clear" w:color="auto" w:fill="auto"/>
                  <w:noWrap/>
                  <w:vAlign w:val="center"/>
                </w:tcPr>
                <w:p w14:paraId="229D64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21204</w:t>
                  </w:r>
                </w:p>
              </w:tc>
              <w:tc>
                <w:tcPr>
                  <w:tcW w:w="956" w:type="dxa"/>
                  <w:tcBorders>
                    <w:tl2br w:val="nil"/>
                    <w:tr2bl w:val="nil"/>
                  </w:tcBorders>
                  <w:shd w:val="clear" w:color="auto" w:fill="auto"/>
                  <w:noWrap/>
                  <w:vAlign w:val="center"/>
                </w:tcPr>
                <w:p w14:paraId="60728B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29136</w:t>
                  </w:r>
                </w:p>
              </w:tc>
              <w:tc>
                <w:tcPr>
                  <w:tcW w:w="956" w:type="dxa"/>
                  <w:tcBorders>
                    <w:tl2br w:val="nil"/>
                    <w:tr2bl w:val="nil"/>
                  </w:tcBorders>
                  <w:shd w:val="clear" w:color="auto" w:fill="auto"/>
                  <w:noWrap/>
                  <w:vAlign w:val="center"/>
                </w:tcPr>
                <w:p w14:paraId="0A32C5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91968</w:t>
                  </w:r>
                </w:p>
              </w:tc>
            </w:tr>
          </w:tbl>
          <w:p w14:paraId="4B90D99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（3）康王乡乌江村杨埠片果场农村安全饮水管网延伸工程</w:t>
            </w:r>
          </w:p>
          <w:p w14:paraId="02D4341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工程内容为室外给水管道及</w:t>
            </w:r>
            <w:r>
              <w:rPr>
                <w:rFonts w:hint="eastAsia" w:ascii="宋体" w:hAnsi="宋体" w:cs="宋体"/>
                <w:b w:val="0"/>
                <w:bCs w:val="0"/>
                <w:color w:val="auto"/>
                <w:sz w:val="24"/>
                <w:szCs w:val="24"/>
                <w:highlight w:val="none"/>
                <w:lang w:val="en-US" w:eastAsia="zh-CN"/>
              </w:rPr>
              <w:t>加压泵站设备更换。</w:t>
            </w:r>
            <w:r>
              <w:rPr>
                <w:rFonts w:hint="eastAsia" w:ascii="宋体" w:hAnsi="宋体" w:cs="宋体"/>
                <w:b w:val="0"/>
                <w:bCs w:val="0"/>
                <w:color w:val="auto"/>
                <w:sz w:val="24"/>
                <w:szCs w:val="24"/>
                <w:lang w:val="en-US" w:eastAsia="zh-CN"/>
              </w:rPr>
              <w:t>解决乌江村杨埠片居民自来水水压过小使用问题及新建18户居民水表。</w:t>
            </w:r>
          </w:p>
          <w:p w14:paraId="524FB23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eastAsia="宋体"/>
                <w:lang w:eastAsia="zh-CN"/>
              </w:rPr>
            </w:pPr>
            <w:r>
              <w:rPr>
                <w:rFonts w:hint="eastAsia" w:eastAsia="宋体"/>
                <w:lang w:eastAsia="zh-CN"/>
              </w:rPr>
              <w:drawing>
                <wp:inline distT="0" distB="0" distL="114300" distR="114300">
                  <wp:extent cx="5026025" cy="2715895"/>
                  <wp:effectExtent l="9525" t="9525" r="12700" b="17780"/>
                  <wp:docPr id="1" name="图片 1" descr="840376f2-c740-4bd6-b233-bc6a1e8dc9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840376f2-c740-4bd6-b233-bc6a1e8dc99a"/>
                          <pic:cNvPicPr>
                            <a:picLocks noChangeAspect="1"/>
                          </pic:cNvPicPr>
                        </pic:nvPicPr>
                        <pic:blipFill>
                          <a:blip r:embed="rId33"/>
                          <a:stretch>
                            <a:fillRect/>
                          </a:stretch>
                        </pic:blipFill>
                        <pic:spPr>
                          <a:xfrm>
                            <a:off x="0" y="0"/>
                            <a:ext cx="5026025" cy="2715895"/>
                          </a:xfrm>
                          <a:prstGeom prst="rect">
                            <a:avLst/>
                          </a:prstGeom>
                          <a:ln>
                            <a:solidFill>
                              <a:schemeClr val="tx1"/>
                            </a:solidFill>
                          </a:ln>
                        </pic:spPr>
                      </pic:pic>
                    </a:graphicData>
                  </a:graphic>
                </wp:inline>
              </w:drawing>
            </w:r>
          </w:p>
          <w:p w14:paraId="300ED05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center"/>
              <w:textAlignment w:val="auto"/>
              <w:rPr>
                <w:rFonts w:hint="eastAsia" w:ascii="宋体" w:hAnsi="宋体" w:cs="宋体"/>
                <w:b w:val="0"/>
                <w:bCs w:val="0"/>
                <w:color w:val="auto"/>
                <w:sz w:val="24"/>
                <w:szCs w:val="24"/>
                <w:lang w:val="en-US" w:eastAsia="zh-CN"/>
              </w:rPr>
            </w:pPr>
            <w:r>
              <w:rPr>
                <w:rFonts w:hint="eastAsia" w:ascii="宋体" w:hAnsi="宋体" w:cs="宋体"/>
                <w:color w:val="auto"/>
                <w:sz w:val="24"/>
                <w:szCs w:val="24"/>
                <w:lang w:val="en-US" w:eastAsia="zh-CN"/>
              </w:rPr>
              <w:t>图2-14  郭镇乡供水管网范围图</w:t>
            </w:r>
          </w:p>
          <w:p w14:paraId="12A8071E">
            <w:pPr>
              <w:pStyle w:val="19"/>
              <w:keepNext/>
              <w:keepLines w:val="0"/>
              <w:pageBreakBefore w:val="0"/>
              <w:widowControl w:val="0"/>
              <w:kinsoku/>
              <w:wordWrap/>
              <w:overflowPunct/>
              <w:topLinePunct w:val="0"/>
              <w:autoSpaceDE/>
              <w:autoSpaceDN/>
              <w:bidi w:val="0"/>
              <w:adjustRightInd/>
              <w:snapToGrid/>
              <w:spacing w:before="0"/>
              <w:textAlignment w:val="auto"/>
              <w:rPr>
                <w:rFonts w:hint="eastAsia"/>
                <w:b w:val="0"/>
                <w:bCs/>
                <w:lang w:val="en-US" w:eastAsia="zh-CN"/>
              </w:rPr>
            </w:pPr>
            <w:r>
              <w:rPr>
                <w:rFonts w:hint="eastAsia"/>
                <w:b w:val="0"/>
                <w:bCs/>
                <w:lang w:val="en-US" w:eastAsia="zh-CN"/>
              </w:rPr>
              <w:t>表2-3  防洪排涝工程特性表</w:t>
            </w:r>
          </w:p>
          <w:tbl>
            <w:tblPr>
              <w:tblStyle w:val="9"/>
              <w:tblW w:w="7937"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1865"/>
              <w:gridCol w:w="762"/>
              <w:gridCol w:w="1213"/>
              <w:gridCol w:w="4097"/>
            </w:tblGrid>
            <w:tr w14:paraId="4E4604F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08CAA1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 目</w:t>
                  </w:r>
                </w:p>
              </w:tc>
              <w:tc>
                <w:tcPr>
                  <w:tcW w:w="762" w:type="dxa"/>
                  <w:tcBorders>
                    <w:tl2br w:val="nil"/>
                    <w:tr2bl w:val="nil"/>
                  </w:tcBorders>
                  <w:shd w:val="clear" w:color="auto" w:fill="auto"/>
                  <w:vAlign w:val="center"/>
                </w:tcPr>
                <w:p w14:paraId="684B28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单位</w:t>
                  </w:r>
                </w:p>
              </w:tc>
              <w:tc>
                <w:tcPr>
                  <w:tcW w:w="1213" w:type="dxa"/>
                  <w:tcBorders>
                    <w:tl2br w:val="nil"/>
                    <w:tr2bl w:val="nil"/>
                  </w:tcBorders>
                  <w:shd w:val="clear" w:color="auto" w:fill="auto"/>
                  <w:vAlign w:val="center"/>
                </w:tcPr>
                <w:p w14:paraId="05917E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数量</w:t>
                  </w:r>
                </w:p>
              </w:tc>
              <w:tc>
                <w:tcPr>
                  <w:tcW w:w="4097" w:type="dxa"/>
                  <w:tcBorders>
                    <w:tl2br w:val="nil"/>
                    <w:tr2bl w:val="nil"/>
                  </w:tcBorders>
                  <w:shd w:val="clear" w:color="auto" w:fill="auto"/>
                  <w:vAlign w:val="center"/>
                </w:tcPr>
                <w:p w14:paraId="3126CE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备 注</w:t>
                  </w:r>
                </w:p>
              </w:tc>
            </w:tr>
            <w:tr w14:paraId="1C2D5C4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7937" w:type="dxa"/>
                  <w:gridSpan w:val="4"/>
                  <w:tcBorders>
                    <w:tl2br w:val="nil"/>
                    <w:tr2bl w:val="nil"/>
                  </w:tcBorders>
                  <w:shd w:val="clear" w:color="auto" w:fill="auto"/>
                  <w:vAlign w:val="center"/>
                </w:tcPr>
                <w:p w14:paraId="077ACEDD">
                  <w:pP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一、项目区基本情况</w:t>
                  </w:r>
                </w:p>
              </w:tc>
            </w:tr>
            <w:tr w14:paraId="7DACBD2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213EEF6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1.项目名称</w:t>
                  </w:r>
                </w:p>
              </w:tc>
              <w:tc>
                <w:tcPr>
                  <w:tcW w:w="762" w:type="dxa"/>
                  <w:tcBorders>
                    <w:tl2br w:val="nil"/>
                    <w:tr2bl w:val="nil"/>
                  </w:tcBorders>
                  <w:shd w:val="clear" w:color="auto" w:fill="auto"/>
                  <w:vAlign w:val="center"/>
                </w:tcPr>
                <w:p w14:paraId="40484F2A">
                  <w:pPr>
                    <w:jc w:val="center"/>
                    <w:rPr>
                      <w:rFonts w:hint="eastAsia" w:ascii="宋体" w:hAnsi="宋体" w:eastAsia="宋体" w:cs="宋体"/>
                      <w:i w:val="0"/>
                      <w:iCs w:val="0"/>
                      <w:color w:val="000000"/>
                      <w:sz w:val="22"/>
                      <w:szCs w:val="22"/>
                      <w:u w:val="none"/>
                    </w:rPr>
                  </w:pPr>
                </w:p>
              </w:tc>
              <w:tc>
                <w:tcPr>
                  <w:tcW w:w="5310" w:type="dxa"/>
                  <w:gridSpan w:val="2"/>
                  <w:tcBorders>
                    <w:tl2br w:val="nil"/>
                    <w:tr2bl w:val="nil"/>
                  </w:tcBorders>
                  <w:shd w:val="clear" w:color="auto" w:fill="auto"/>
                  <w:vAlign w:val="center"/>
                </w:tcPr>
                <w:p w14:paraId="499EA13D">
                  <w:pP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岳阳楼区城市排水防洪排涝建设项目</w:t>
                  </w:r>
                </w:p>
              </w:tc>
            </w:tr>
            <w:tr w14:paraId="3CB6A34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03098A4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2.建设单位</w:t>
                  </w:r>
                </w:p>
              </w:tc>
              <w:tc>
                <w:tcPr>
                  <w:tcW w:w="762" w:type="dxa"/>
                  <w:tcBorders>
                    <w:tl2br w:val="nil"/>
                    <w:tr2bl w:val="nil"/>
                  </w:tcBorders>
                  <w:shd w:val="clear" w:color="auto" w:fill="auto"/>
                  <w:vAlign w:val="center"/>
                </w:tcPr>
                <w:p w14:paraId="0819C613">
                  <w:pPr>
                    <w:jc w:val="center"/>
                    <w:rPr>
                      <w:rFonts w:hint="eastAsia" w:ascii="宋体" w:hAnsi="宋体" w:eastAsia="宋体" w:cs="宋体"/>
                      <w:i w:val="0"/>
                      <w:iCs w:val="0"/>
                      <w:color w:val="000000"/>
                      <w:sz w:val="22"/>
                      <w:szCs w:val="22"/>
                      <w:u w:val="none"/>
                    </w:rPr>
                  </w:pPr>
                </w:p>
              </w:tc>
              <w:tc>
                <w:tcPr>
                  <w:tcW w:w="5310" w:type="dxa"/>
                  <w:gridSpan w:val="2"/>
                  <w:tcBorders>
                    <w:tl2br w:val="nil"/>
                    <w:tr2bl w:val="nil"/>
                  </w:tcBorders>
                  <w:shd w:val="clear" w:color="auto" w:fill="auto"/>
                  <w:vAlign w:val="center"/>
                </w:tcPr>
                <w:p w14:paraId="2BC40DB7">
                  <w:pP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岳阳市岳阳楼区水利局</w:t>
                  </w:r>
                </w:p>
              </w:tc>
            </w:tr>
            <w:tr w14:paraId="6B0A3EC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7B37EE3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3.项目地点</w:t>
                  </w:r>
                </w:p>
              </w:tc>
              <w:tc>
                <w:tcPr>
                  <w:tcW w:w="762" w:type="dxa"/>
                  <w:tcBorders>
                    <w:tl2br w:val="nil"/>
                    <w:tr2bl w:val="nil"/>
                  </w:tcBorders>
                  <w:shd w:val="clear" w:color="auto" w:fill="auto"/>
                  <w:vAlign w:val="center"/>
                </w:tcPr>
                <w:p w14:paraId="023A22E1">
                  <w:pPr>
                    <w:jc w:val="center"/>
                    <w:rPr>
                      <w:rFonts w:hint="eastAsia" w:ascii="宋体" w:hAnsi="宋体" w:eastAsia="宋体" w:cs="宋体"/>
                      <w:i w:val="0"/>
                      <w:iCs w:val="0"/>
                      <w:color w:val="000000"/>
                      <w:sz w:val="22"/>
                      <w:szCs w:val="22"/>
                      <w:u w:val="none"/>
                    </w:rPr>
                  </w:pPr>
                </w:p>
              </w:tc>
              <w:tc>
                <w:tcPr>
                  <w:tcW w:w="5310" w:type="dxa"/>
                  <w:gridSpan w:val="2"/>
                  <w:tcBorders>
                    <w:tl2br w:val="nil"/>
                    <w:tr2bl w:val="nil"/>
                  </w:tcBorders>
                  <w:shd w:val="clear" w:color="auto" w:fill="auto"/>
                  <w:vAlign w:val="center"/>
                </w:tcPr>
                <w:p w14:paraId="59683E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洛王街道、金鹗山街道、枫桥湖街道、王家河街道等</w:t>
                  </w:r>
                </w:p>
                <w:p w14:paraId="73A1641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改造积涝点10处</w:t>
                  </w:r>
                </w:p>
              </w:tc>
            </w:tr>
            <w:tr w14:paraId="351A515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7937" w:type="dxa"/>
                  <w:gridSpan w:val="4"/>
                  <w:tcBorders>
                    <w:tl2br w:val="nil"/>
                    <w:tr2bl w:val="nil"/>
                  </w:tcBorders>
                  <w:shd w:val="clear" w:color="auto" w:fill="auto"/>
                  <w:vAlign w:val="center"/>
                </w:tcPr>
                <w:p w14:paraId="17913161">
                  <w:pP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二、设计标准</w:t>
                  </w:r>
                </w:p>
              </w:tc>
            </w:tr>
            <w:tr w14:paraId="42AE57C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2B4A6A2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1.城市防洪标准</w:t>
                  </w:r>
                </w:p>
              </w:tc>
              <w:tc>
                <w:tcPr>
                  <w:tcW w:w="762" w:type="dxa"/>
                  <w:tcBorders>
                    <w:tl2br w:val="nil"/>
                    <w:tr2bl w:val="nil"/>
                  </w:tcBorders>
                  <w:shd w:val="clear" w:color="auto" w:fill="auto"/>
                  <w:vAlign w:val="center"/>
                </w:tcPr>
                <w:p w14:paraId="663B22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w:t>
                  </w:r>
                </w:p>
              </w:tc>
              <w:tc>
                <w:tcPr>
                  <w:tcW w:w="1213" w:type="dxa"/>
                  <w:tcBorders>
                    <w:tl2br w:val="nil"/>
                    <w:tr2bl w:val="nil"/>
                  </w:tcBorders>
                  <w:shd w:val="clear" w:color="auto" w:fill="auto"/>
                  <w:vAlign w:val="center"/>
                </w:tcPr>
                <w:p w14:paraId="4F66EA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4097" w:type="dxa"/>
                  <w:tcBorders>
                    <w:tl2br w:val="nil"/>
                    <w:tr2bl w:val="nil"/>
                  </w:tcBorders>
                  <w:shd w:val="clear" w:color="auto" w:fill="auto"/>
                  <w:vAlign w:val="center"/>
                </w:tcPr>
                <w:p w14:paraId="3C2A3EA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莲花塘控制水位34.4米（冻结吴淞基面）</w:t>
                  </w:r>
                </w:p>
              </w:tc>
            </w:tr>
            <w:tr w14:paraId="1A6AA16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4D2FDAB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2.内涝防治标准</w:t>
                  </w:r>
                </w:p>
              </w:tc>
              <w:tc>
                <w:tcPr>
                  <w:tcW w:w="762" w:type="dxa"/>
                  <w:tcBorders>
                    <w:tl2br w:val="nil"/>
                    <w:tr2bl w:val="nil"/>
                  </w:tcBorders>
                  <w:shd w:val="clear" w:color="auto" w:fill="auto"/>
                  <w:vAlign w:val="center"/>
                </w:tcPr>
                <w:p w14:paraId="2FD53C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w:t>
                  </w:r>
                </w:p>
              </w:tc>
              <w:tc>
                <w:tcPr>
                  <w:tcW w:w="1213" w:type="dxa"/>
                  <w:tcBorders>
                    <w:tl2br w:val="nil"/>
                    <w:tr2bl w:val="nil"/>
                  </w:tcBorders>
                  <w:shd w:val="clear" w:color="auto" w:fill="auto"/>
                  <w:vAlign w:val="center"/>
                </w:tcPr>
                <w:p w14:paraId="63B349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4097" w:type="dxa"/>
                  <w:tcBorders>
                    <w:tl2br w:val="nil"/>
                    <w:tr2bl w:val="nil"/>
                  </w:tcBorders>
                  <w:shd w:val="clear" w:color="auto" w:fill="auto"/>
                  <w:vAlign w:val="center"/>
                </w:tcPr>
                <w:p w14:paraId="5A2BC09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地级城市中心城区标准</w:t>
                  </w:r>
                </w:p>
              </w:tc>
            </w:tr>
            <w:tr w14:paraId="087C4E0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0FE0D7C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3.雨水管渠设计重现期</w:t>
                  </w:r>
                </w:p>
              </w:tc>
              <w:tc>
                <w:tcPr>
                  <w:tcW w:w="762" w:type="dxa"/>
                  <w:tcBorders>
                    <w:tl2br w:val="nil"/>
                    <w:tr2bl w:val="nil"/>
                  </w:tcBorders>
                  <w:shd w:val="clear" w:color="auto" w:fill="auto"/>
                  <w:vAlign w:val="center"/>
                </w:tcPr>
                <w:p w14:paraId="0FB780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w:t>
                  </w:r>
                </w:p>
              </w:tc>
              <w:tc>
                <w:tcPr>
                  <w:tcW w:w="1213" w:type="dxa"/>
                  <w:tcBorders>
                    <w:tl2br w:val="nil"/>
                    <w:tr2bl w:val="nil"/>
                  </w:tcBorders>
                  <w:shd w:val="clear" w:color="auto" w:fill="auto"/>
                  <w:vAlign w:val="center"/>
                </w:tcPr>
                <w:p w14:paraId="719E96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c>
                <w:tcPr>
                  <w:tcW w:w="4097" w:type="dxa"/>
                  <w:tcBorders>
                    <w:tl2br w:val="nil"/>
                    <w:tr2bl w:val="nil"/>
                  </w:tcBorders>
                  <w:shd w:val="clear" w:color="auto" w:fill="auto"/>
                  <w:vAlign w:val="center"/>
                </w:tcPr>
                <w:p w14:paraId="1D1EB49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一般地区3年，重要地区及低洼地5年</w:t>
                  </w:r>
                </w:p>
              </w:tc>
            </w:tr>
            <w:tr w14:paraId="1F78678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497235E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4.排水体制</w:t>
                  </w:r>
                </w:p>
              </w:tc>
              <w:tc>
                <w:tcPr>
                  <w:tcW w:w="762" w:type="dxa"/>
                  <w:tcBorders>
                    <w:tl2br w:val="nil"/>
                    <w:tr2bl w:val="nil"/>
                  </w:tcBorders>
                  <w:shd w:val="clear" w:color="auto" w:fill="auto"/>
                  <w:vAlign w:val="center"/>
                </w:tcPr>
                <w:p w14:paraId="797F77D8">
                  <w:pPr>
                    <w:jc w:val="center"/>
                    <w:rPr>
                      <w:rFonts w:hint="eastAsia" w:ascii="宋体" w:hAnsi="宋体" w:eastAsia="宋体" w:cs="宋体"/>
                      <w:i w:val="0"/>
                      <w:iCs w:val="0"/>
                      <w:color w:val="000000"/>
                      <w:sz w:val="22"/>
                      <w:szCs w:val="22"/>
                      <w:u w:val="none"/>
                    </w:rPr>
                  </w:pPr>
                </w:p>
              </w:tc>
              <w:tc>
                <w:tcPr>
                  <w:tcW w:w="1213" w:type="dxa"/>
                  <w:tcBorders>
                    <w:tl2br w:val="nil"/>
                    <w:tr2bl w:val="nil"/>
                  </w:tcBorders>
                  <w:shd w:val="clear" w:color="auto" w:fill="auto"/>
                  <w:vAlign w:val="center"/>
                </w:tcPr>
                <w:p w14:paraId="6F1064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截流式合流制</w:t>
                  </w:r>
                </w:p>
              </w:tc>
              <w:tc>
                <w:tcPr>
                  <w:tcW w:w="4097" w:type="dxa"/>
                  <w:tcBorders>
                    <w:tl2br w:val="nil"/>
                    <w:tr2bl w:val="nil"/>
                  </w:tcBorders>
                  <w:shd w:val="clear" w:color="auto" w:fill="auto"/>
                  <w:vAlign w:val="center"/>
                </w:tcPr>
                <w:p w14:paraId="32B925D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老旧小区</w:t>
                  </w:r>
                </w:p>
              </w:tc>
            </w:tr>
            <w:tr w14:paraId="70B5FA3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7937" w:type="dxa"/>
                  <w:gridSpan w:val="4"/>
                  <w:tcBorders>
                    <w:tl2br w:val="nil"/>
                    <w:tr2bl w:val="nil"/>
                  </w:tcBorders>
                  <w:shd w:val="clear" w:color="auto" w:fill="auto"/>
                  <w:vAlign w:val="center"/>
                </w:tcPr>
                <w:p w14:paraId="69343474">
                  <w:pP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三、主要建设内容</w:t>
                  </w:r>
                </w:p>
              </w:tc>
            </w:tr>
            <w:tr w14:paraId="7D11A0D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2AFB522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1.新建雨水管道（DN2600）</w:t>
                  </w:r>
                </w:p>
              </w:tc>
              <w:tc>
                <w:tcPr>
                  <w:tcW w:w="762" w:type="dxa"/>
                  <w:tcBorders>
                    <w:tl2br w:val="nil"/>
                    <w:tr2bl w:val="nil"/>
                  </w:tcBorders>
                  <w:shd w:val="clear" w:color="auto" w:fill="auto"/>
                  <w:vAlign w:val="center"/>
                </w:tcPr>
                <w:p w14:paraId="69915B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1213" w:type="dxa"/>
                  <w:tcBorders>
                    <w:tl2br w:val="nil"/>
                    <w:tr2bl w:val="nil"/>
                  </w:tcBorders>
                  <w:shd w:val="clear" w:color="auto" w:fill="auto"/>
                  <w:vAlign w:val="center"/>
                </w:tcPr>
                <w:p w14:paraId="7C7D68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1686</w:t>
                  </w:r>
                </w:p>
              </w:tc>
              <w:tc>
                <w:tcPr>
                  <w:tcW w:w="4097" w:type="dxa"/>
                  <w:tcBorders>
                    <w:tl2br w:val="nil"/>
                    <w:tr2bl w:val="nil"/>
                  </w:tcBorders>
                  <w:shd w:val="clear" w:color="auto" w:fill="auto"/>
                  <w:vAlign w:val="center"/>
                </w:tcPr>
                <w:p w14:paraId="0D2F838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其中巴陵路1450米（顶管），新天地220米（开挖）</w:t>
                  </w:r>
                </w:p>
              </w:tc>
            </w:tr>
            <w:tr w14:paraId="5B68C90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3D53F47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2.新建排水管沟</w:t>
                  </w:r>
                </w:p>
              </w:tc>
              <w:tc>
                <w:tcPr>
                  <w:tcW w:w="762" w:type="dxa"/>
                  <w:tcBorders>
                    <w:tl2br w:val="nil"/>
                    <w:tr2bl w:val="nil"/>
                  </w:tcBorders>
                  <w:shd w:val="clear" w:color="auto" w:fill="auto"/>
                  <w:vAlign w:val="center"/>
                </w:tcPr>
                <w:p w14:paraId="17442C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1213" w:type="dxa"/>
                  <w:tcBorders>
                    <w:tl2br w:val="nil"/>
                    <w:tr2bl w:val="nil"/>
                  </w:tcBorders>
                  <w:shd w:val="clear" w:color="auto" w:fill="auto"/>
                  <w:vAlign w:val="center"/>
                </w:tcPr>
                <w:p w14:paraId="3A34D1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1110</w:t>
                  </w:r>
                </w:p>
              </w:tc>
              <w:tc>
                <w:tcPr>
                  <w:tcW w:w="4097" w:type="dxa"/>
                  <w:tcBorders>
                    <w:tl2br w:val="nil"/>
                    <w:tr2bl w:val="nil"/>
                  </w:tcBorders>
                  <w:shd w:val="clear" w:color="auto" w:fill="auto"/>
                  <w:vAlign w:val="center"/>
                </w:tcPr>
                <w:p w14:paraId="132353B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盖板沟（400</w:t>
                  </w:r>
                  <w:r>
                    <w:rPr>
                      <w:rFonts w:hint="default" w:ascii="Arial" w:hAnsi="Arial" w:eastAsia="宋体" w:cs="Arial"/>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400）</w:t>
                  </w:r>
                </w:p>
              </w:tc>
            </w:tr>
            <w:tr w14:paraId="6850DB6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3776929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3.排水管沟清淤</w:t>
                  </w:r>
                </w:p>
              </w:tc>
              <w:tc>
                <w:tcPr>
                  <w:tcW w:w="762" w:type="dxa"/>
                  <w:tcBorders>
                    <w:tl2br w:val="nil"/>
                    <w:tr2bl w:val="nil"/>
                  </w:tcBorders>
                  <w:shd w:val="clear" w:color="auto" w:fill="auto"/>
                  <w:vAlign w:val="center"/>
                </w:tcPr>
                <w:p w14:paraId="697A59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1213" w:type="dxa"/>
                  <w:tcBorders>
                    <w:tl2br w:val="nil"/>
                    <w:tr2bl w:val="nil"/>
                  </w:tcBorders>
                  <w:shd w:val="clear" w:color="auto" w:fill="auto"/>
                  <w:vAlign w:val="center"/>
                </w:tcPr>
                <w:p w14:paraId="44B2F4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1350</w:t>
                  </w:r>
                </w:p>
              </w:tc>
              <w:tc>
                <w:tcPr>
                  <w:tcW w:w="4097" w:type="dxa"/>
                  <w:tcBorders>
                    <w:tl2br w:val="nil"/>
                    <w:tr2bl w:val="nil"/>
                  </w:tcBorders>
                  <w:shd w:val="clear" w:color="auto" w:fill="auto"/>
                  <w:vAlign w:val="center"/>
                </w:tcPr>
                <w:p w14:paraId="307C019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不清淤量，仅长度</w:t>
                  </w:r>
                </w:p>
              </w:tc>
            </w:tr>
            <w:tr w14:paraId="1FE00A6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164434E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4.分流井</w:t>
                  </w:r>
                </w:p>
              </w:tc>
              <w:tc>
                <w:tcPr>
                  <w:tcW w:w="762" w:type="dxa"/>
                  <w:tcBorders>
                    <w:tl2br w:val="nil"/>
                    <w:tr2bl w:val="nil"/>
                  </w:tcBorders>
                  <w:shd w:val="clear" w:color="auto" w:fill="auto"/>
                  <w:vAlign w:val="center"/>
                </w:tcPr>
                <w:p w14:paraId="3D66E1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座</w:t>
                  </w:r>
                </w:p>
              </w:tc>
              <w:tc>
                <w:tcPr>
                  <w:tcW w:w="1213" w:type="dxa"/>
                  <w:tcBorders>
                    <w:tl2br w:val="nil"/>
                    <w:tr2bl w:val="nil"/>
                  </w:tcBorders>
                  <w:shd w:val="clear" w:color="auto" w:fill="auto"/>
                  <w:vAlign w:val="center"/>
                </w:tcPr>
                <w:p w14:paraId="08CCCE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4097" w:type="dxa"/>
                  <w:tcBorders>
                    <w:tl2br w:val="nil"/>
                    <w:tr2bl w:val="nil"/>
                  </w:tcBorders>
                  <w:shd w:val="clear" w:color="auto" w:fill="auto"/>
                  <w:vAlign w:val="center"/>
                </w:tcPr>
                <w:p w14:paraId="49A2097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固定堰分流井</w:t>
                  </w:r>
                </w:p>
              </w:tc>
            </w:tr>
            <w:tr w14:paraId="0FD1C7A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1EBCFD5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5.检查井（含顶管工作井/接收井）</w:t>
                  </w:r>
                </w:p>
              </w:tc>
              <w:tc>
                <w:tcPr>
                  <w:tcW w:w="762" w:type="dxa"/>
                  <w:tcBorders>
                    <w:tl2br w:val="nil"/>
                    <w:tr2bl w:val="nil"/>
                  </w:tcBorders>
                  <w:shd w:val="clear" w:color="auto" w:fill="auto"/>
                  <w:vAlign w:val="center"/>
                </w:tcPr>
                <w:p w14:paraId="478323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座</w:t>
                  </w:r>
                </w:p>
              </w:tc>
              <w:tc>
                <w:tcPr>
                  <w:tcW w:w="1213" w:type="dxa"/>
                  <w:tcBorders>
                    <w:tl2br w:val="nil"/>
                    <w:tr2bl w:val="nil"/>
                  </w:tcBorders>
                  <w:shd w:val="clear" w:color="auto" w:fill="auto"/>
                  <w:vAlign w:val="center"/>
                </w:tcPr>
                <w:p w14:paraId="33669F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约41</w:t>
                  </w:r>
                </w:p>
              </w:tc>
              <w:tc>
                <w:tcPr>
                  <w:tcW w:w="4097" w:type="dxa"/>
                  <w:tcBorders>
                    <w:tl2br w:val="nil"/>
                    <w:tr2bl w:val="nil"/>
                  </w:tcBorders>
                  <w:shd w:val="clear" w:color="auto" w:fill="auto"/>
                  <w:vAlign w:val="center"/>
                </w:tcPr>
                <w:p w14:paraId="4EF3FAC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其中工作井7座、接收井7座、普通检查井27座</w:t>
                  </w:r>
                </w:p>
              </w:tc>
            </w:tr>
            <w:tr w14:paraId="7AE8319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7937" w:type="dxa"/>
                  <w:gridSpan w:val="4"/>
                  <w:tcBorders>
                    <w:tl2br w:val="nil"/>
                    <w:tr2bl w:val="nil"/>
                  </w:tcBorders>
                  <w:shd w:val="clear" w:color="auto" w:fill="auto"/>
                  <w:vAlign w:val="center"/>
                </w:tcPr>
                <w:p w14:paraId="1FFA01A1">
                  <w:pPr>
                    <w:rPr>
                      <w:rFonts w:hint="eastAsia" w:ascii="宋体" w:hAnsi="宋体" w:eastAsia="宋体" w:cs="宋体"/>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四、主要工程量</w:t>
                  </w:r>
                </w:p>
              </w:tc>
            </w:tr>
            <w:tr w14:paraId="3BA005C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06BC9A5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1.土石方开挖</w:t>
                  </w:r>
                </w:p>
              </w:tc>
              <w:tc>
                <w:tcPr>
                  <w:tcW w:w="762" w:type="dxa"/>
                  <w:tcBorders>
                    <w:tl2br w:val="nil"/>
                    <w:tr2bl w:val="nil"/>
                  </w:tcBorders>
                  <w:shd w:val="clear" w:color="auto" w:fill="auto"/>
                  <w:vAlign w:val="center"/>
                </w:tcPr>
                <w:p w14:paraId="24B0CA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m³</w:t>
                  </w:r>
                </w:p>
              </w:tc>
              <w:tc>
                <w:tcPr>
                  <w:tcW w:w="1213" w:type="dxa"/>
                  <w:tcBorders>
                    <w:tl2br w:val="nil"/>
                    <w:tr2bl w:val="nil"/>
                  </w:tcBorders>
                  <w:shd w:val="clear" w:color="auto" w:fill="auto"/>
                  <w:vAlign w:val="center"/>
                </w:tcPr>
                <w:p w14:paraId="253944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13200</w:t>
                  </w:r>
                </w:p>
              </w:tc>
              <w:tc>
                <w:tcPr>
                  <w:tcW w:w="4097" w:type="dxa"/>
                  <w:tcBorders>
                    <w:tl2br w:val="nil"/>
                    <w:tr2bl w:val="nil"/>
                  </w:tcBorders>
                  <w:shd w:val="clear" w:color="auto" w:fill="auto"/>
                  <w:vAlign w:val="center"/>
                </w:tcPr>
                <w:p w14:paraId="023D3AA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含顶管工作井（2240）、开挖段管槽（9900）、排水沟（1060）</w:t>
                  </w:r>
                </w:p>
              </w:tc>
            </w:tr>
            <w:tr w14:paraId="68C5038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505BF3D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2.土方回填</w:t>
                  </w:r>
                </w:p>
              </w:tc>
              <w:tc>
                <w:tcPr>
                  <w:tcW w:w="762" w:type="dxa"/>
                  <w:tcBorders>
                    <w:tl2br w:val="nil"/>
                    <w:tr2bl w:val="nil"/>
                  </w:tcBorders>
                  <w:shd w:val="clear" w:color="auto" w:fill="auto"/>
                  <w:vAlign w:val="center"/>
                </w:tcPr>
                <w:p w14:paraId="5AEF62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m³</w:t>
                  </w:r>
                </w:p>
              </w:tc>
              <w:tc>
                <w:tcPr>
                  <w:tcW w:w="1213" w:type="dxa"/>
                  <w:tcBorders>
                    <w:tl2br w:val="nil"/>
                    <w:tr2bl w:val="nil"/>
                  </w:tcBorders>
                  <w:shd w:val="clear" w:color="auto" w:fill="auto"/>
                  <w:vAlign w:val="center"/>
                </w:tcPr>
                <w:p w14:paraId="4F8DC0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8900</w:t>
                  </w:r>
                </w:p>
              </w:tc>
              <w:tc>
                <w:tcPr>
                  <w:tcW w:w="4097" w:type="dxa"/>
                  <w:tcBorders>
                    <w:tl2br w:val="nil"/>
                    <w:tr2bl w:val="nil"/>
                  </w:tcBorders>
                  <w:shd w:val="clear" w:color="auto" w:fill="auto"/>
                  <w:vAlign w:val="center"/>
                </w:tcPr>
                <w:p w14:paraId="457F407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管槽回填及井周回填</w:t>
                  </w:r>
                </w:p>
              </w:tc>
            </w:tr>
            <w:tr w14:paraId="4755848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3A0B783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3.混凝土浇筑</w:t>
                  </w:r>
                </w:p>
              </w:tc>
              <w:tc>
                <w:tcPr>
                  <w:tcW w:w="762" w:type="dxa"/>
                  <w:tcBorders>
                    <w:tl2br w:val="nil"/>
                    <w:tr2bl w:val="nil"/>
                  </w:tcBorders>
                  <w:shd w:val="clear" w:color="auto" w:fill="auto"/>
                  <w:vAlign w:val="center"/>
                </w:tcPr>
                <w:p w14:paraId="27F5EC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m³</w:t>
                  </w:r>
                </w:p>
              </w:tc>
              <w:tc>
                <w:tcPr>
                  <w:tcW w:w="1213" w:type="dxa"/>
                  <w:tcBorders>
                    <w:tl2br w:val="nil"/>
                    <w:tr2bl w:val="nil"/>
                  </w:tcBorders>
                  <w:shd w:val="clear" w:color="auto" w:fill="auto"/>
                  <w:vAlign w:val="center"/>
                </w:tcPr>
                <w:p w14:paraId="2CB5B1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1460</w:t>
                  </w:r>
                </w:p>
              </w:tc>
              <w:tc>
                <w:tcPr>
                  <w:tcW w:w="4097" w:type="dxa"/>
                  <w:tcBorders>
                    <w:tl2br w:val="nil"/>
                    <w:tr2bl w:val="nil"/>
                  </w:tcBorders>
                  <w:shd w:val="clear" w:color="auto" w:fill="auto"/>
                  <w:vAlign w:val="center"/>
                </w:tcPr>
                <w:p w14:paraId="4A61A13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含工作井/接收井（910）、检查井（170）、分流井（50）、排水沟（330）</w:t>
                  </w:r>
                </w:p>
              </w:tc>
            </w:tr>
            <w:tr w14:paraId="2D39A83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69FD5E6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4.钢筋制安</w:t>
                  </w:r>
                </w:p>
              </w:tc>
              <w:tc>
                <w:tcPr>
                  <w:tcW w:w="762" w:type="dxa"/>
                  <w:tcBorders>
                    <w:tl2br w:val="nil"/>
                    <w:tr2bl w:val="nil"/>
                  </w:tcBorders>
                  <w:shd w:val="clear" w:color="auto" w:fill="auto"/>
                  <w:vAlign w:val="center"/>
                </w:tcPr>
                <w:p w14:paraId="1824BB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w:t>
                  </w:r>
                </w:p>
              </w:tc>
              <w:tc>
                <w:tcPr>
                  <w:tcW w:w="1213" w:type="dxa"/>
                  <w:tcBorders>
                    <w:tl2br w:val="nil"/>
                    <w:tr2bl w:val="nil"/>
                  </w:tcBorders>
                  <w:shd w:val="clear" w:color="auto" w:fill="auto"/>
                  <w:vAlign w:val="center"/>
                </w:tcPr>
                <w:p w14:paraId="389F5B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117</w:t>
                  </w:r>
                </w:p>
              </w:tc>
              <w:tc>
                <w:tcPr>
                  <w:tcW w:w="4097" w:type="dxa"/>
                  <w:tcBorders>
                    <w:tl2br w:val="nil"/>
                    <w:tr2bl w:val="nil"/>
                  </w:tcBorders>
                  <w:shd w:val="clear" w:color="auto" w:fill="auto"/>
                  <w:vAlign w:val="center"/>
                </w:tcPr>
                <w:p w14:paraId="5601438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按混凝土量80kg/m³估算</w:t>
                  </w:r>
                </w:p>
              </w:tc>
            </w:tr>
            <w:tr w14:paraId="70A7A74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1CEC7DE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5.清淤量</w:t>
                  </w:r>
                </w:p>
              </w:tc>
              <w:tc>
                <w:tcPr>
                  <w:tcW w:w="762" w:type="dxa"/>
                  <w:tcBorders>
                    <w:tl2br w:val="nil"/>
                    <w:tr2bl w:val="nil"/>
                  </w:tcBorders>
                  <w:shd w:val="clear" w:color="auto" w:fill="auto"/>
                  <w:vAlign w:val="center"/>
                </w:tcPr>
                <w:p w14:paraId="4DE879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m³</w:t>
                  </w:r>
                </w:p>
              </w:tc>
              <w:tc>
                <w:tcPr>
                  <w:tcW w:w="1213" w:type="dxa"/>
                  <w:tcBorders>
                    <w:tl2br w:val="nil"/>
                    <w:tr2bl w:val="nil"/>
                  </w:tcBorders>
                  <w:shd w:val="clear" w:color="auto" w:fill="auto"/>
                  <w:vAlign w:val="center"/>
                </w:tcPr>
                <w:p w14:paraId="20A52F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约680</w:t>
                  </w:r>
                </w:p>
              </w:tc>
              <w:tc>
                <w:tcPr>
                  <w:tcW w:w="4097" w:type="dxa"/>
                  <w:tcBorders>
                    <w:tl2br w:val="nil"/>
                    <w:tr2bl w:val="nil"/>
                  </w:tcBorders>
                  <w:shd w:val="clear" w:color="auto" w:fill="auto"/>
                  <w:vAlign w:val="center"/>
                </w:tcPr>
                <w:p w14:paraId="0D10331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按管道断面0.5m²</w:t>
                  </w:r>
                  <w:r>
                    <w:rPr>
                      <w:rFonts w:hint="default" w:ascii="Arial" w:hAnsi="Arial" w:eastAsia="宋体" w:cs="Arial"/>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1350m估算</w:t>
                  </w:r>
                </w:p>
              </w:tc>
            </w:tr>
            <w:tr w14:paraId="01D39B0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7AFEEA6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五、施工工期</w:t>
                  </w:r>
                </w:p>
              </w:tc>
              <w:tc>
                <w:tcPr>
                  <w:tcW w:w="762" w:type="dxa"/>
                  <w:tcBorders>
                    <w:tl2br w:val="nil"/>
                    <w:tr2bl w:val="nil"/>
                  </w:tcBorders>
                  <w:shd w:val="clear" w:color="auto" w:fill="auto"/>
                  <w:vAlign w:val="center"/>
                </w:tcPr>
                <w:p w14:paraId="03967A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月</w:t>
                  </w:r>
                </w:p>
              </w:tc>
              <w:tc>
                <w:tcPr>
                  <w:tcW w:w="1213" w:type="dxa"/>
                  <w:tcBorders>
                    <w:tl2br w:val="nil"/>
                    <w:tr2bl w:val="nil"/>
                  </w:tcBorders>
                  <w:shd w:val="clear" w:color="auto" w:fill="auto"/>
                  <w:vAlign w:val="center"/>
                </w:tcPr>
                <w:p w14:paraId="470218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4097" w:type="dxa"/>
                  <w:tcBorders>
                    <w:tl2br w:val="nil"/>
                    <w:tr2bl w:val="nil"/>
                  </w:tcBorders>
                  <w:shd w:val="clear" w:color="auto" w:fill="auto"/>
                  <w:vAlign w:val="center"/>
                </w:tcPr>
                <w:p w14:paraId="53CFFF5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p>
              </w:tc>
            </w:tr>
            <w:tr w14:paraId="536A894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7937" w:type="dxa"/>
                  <w:gridSpan w:val="4"/>
                  <w:tcBorders>
                    <w:tl2br w:val="nil"/>
                    <w:tr2bl w:val="nil"/>
                  </w:tcBorders>
                  <w:shd w:val="clear" w:color="auto" w:fill="auto"/>
                  <w:vAlign w:val="center"/>
                </w:tcPr>
                <w:p w14:paraId="59EC10B6">
                  <w:pPr>
                    <w:rPr>
                      <w:rFonts w:hint="eastAsia" w:ascii="宋体" w:hAnsi="宋体" w:eastAsia="宋体" w:cs="宋体"/>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六、工程征地</w:t>
                  </w:r>
                </w:p>
              </w:tc>
            </w:tr>
            <w:tr w14:paraId="0C15100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3B444A1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1.永久征地</w:t>
                  </w:r>
                </w:p>
              </w:tc>
              <w:tc>
                <w:tcPr>
                  <w:tcW w:w="762" w:type="dxa"/>
                  <w:tcBorders>
                    <w:tl2br w:val="nil"/>
                    <w:tr2bl w:val="nil"/>
                  </w:tcBorders>
                  <w:shd w:val="clear" w:color="auto" w:fill="auto"/>
                  <w:vAlign w:val="center"/>
                </w:tcPr>
                <w:p w14:paraId="00CA54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亩</w:t>
                  </w:r>
                </w:p>
              </w:tc>
              <w:tc>
                <w:tcPr>
                  <w:tcW w:w="1213" w:type="dxa"/>
                  <w:tcBorders>
                    <w:tl2br w:val="nil"/>
                    <w:tr2bl w:val="nil"/>
                  </w:tcBorders>
                  <w:shd w:val="clear" w:color="auto" w:fill="auto"/>
                  <w:vAlign w:val="center"/>
                </w:tcPr>
                <w:p w14:paraId="548345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4097" w:type="dxa"/>
                  <w:tcBorders>
                    <w:tl2br w:val="nil"/>
                    <w:tr2bl w:val="nil"/>
                  </w:tcBorders>
                  <w:shd w:val="clear" w:color="auto" w:fill="auto"/>
                  <w:vAlign w:val="center"/>
                </w:tcPr>
                <w:p w14:paraId="0E43E9B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无新增</w:t>
                  </w:r>
                </w:p>
              </w:tc>
            </w:tr>
            <w:tr w14:paraId="73ABB66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0" w:hRule="atLeast"/>
                <w:jc w:val="center"/>
              </w:trPr>
              <w:tc>
                <w:tcPr>
                  <w:tcW w:w="1865" w:type="dxa"/>
                  <w:tcBorders>
                    <w:tl2br w:val="nil"/>
                    <w:tr2bl w:val="nil"/>
                  </w:tcBorders>
                  <w:shd w:val="clear" w:color="auto" w:fill="auto"/>
                  <w:vAlign w:val="center"/>
                </w:tcPr>
                <w:p w14:paraId="02821F9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2.临时占地</w:t>
                  </w:r>
                </w:p>
              </w:tc>
              <w:tc>
                <w:tcPr>
                  <w:tcW w:w="762" w:type="dxa"/>
                  <w:tcBorders>
                    <w:tl2br w:val="nil"/>
                    <w:tr2bl w:val="nil"/>
                  </w:tcBorders>
                  <w:shd w:val="clear" w:color="auto" w:fill="auto"/>
                  <w:vAlign w:val="center"/>
                </w:tcPr>
                <w:p w14:paraId="1B98EB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亩</w:t>
                  </w:r>
                </w:p>
              </w:tc>
              <w:tc>
                <w:tcPr>
                  <w:tcW w:w="1213" w:type="dxa"/>
                  <w:tcBorders>
                    <w:tl2br w:val="nil"/>
                    <w:tr2bl w:val="nil"/>
                  </w:tcBorders>
                  <w:shd w:val="clear" w:color="auto" w:fill="auto"/>
                  <w:vAlign w:val="center"/>
                </w:tcPr>
                <w:p w14:paraId="1FE45F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w:t>
                  </w:r>
                </w:p>
              </w:tc>
              <w:tc>
                <w:tcPr>
                  <w:tcW w:w="4097" w:type="dxa"/>
                  <w:tcBorders>
                    <w:tl2br w:val="nil"/>
                    <w:tr2bl w:val="nil"/>
                  </w:tcBorders>
                  <w:shd w:val="clear" w:color="auto" w:fill="auto"/>
                  <w:vAlign w:val="center"/>
                </w:tcPr>
                <w:p w14:paraId="74E216D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施工临时设施、在施工点周边，施工结束即恢复</w:t>
                  </w:r>
                </w:p>
              </w:tc>
            </w:tr>
            <w:tr w14:paraId="6F35615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7937" w:type="dxa"/>
                  <w:gridSpan w:val="4"/>
                  <w:tcBorders>
                    <w:tl2br w:val="nil"/>
                    <w:tr2bl w:val="nil"/>
                  </w:tcBorders>
                  <w:shd w:val="clear" w:color="auto" w:fill="auto"/>
                  <w:vAlign w:val="center"/>
                </w:tcPr>
                <w:p w14:paraId="674D5339">
                  <w:pP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七、经济指标</w:t>
                  </w:r>
                </w:p>
              </w:tc>
            </w:tr>
            <w:tr w14:paraId="3829BEF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5441764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1.工程费用（建安）</w:t>
                  </w:r>
                </w:p>
              </w:tc>
              <w:tc>
                <w:tcPr>
                  <w:tcW w:w="762" w:type="dxa"/>
                  <w:tcBorders>
                    <w:tl2br w:val="nil"/>
                    <w:tr2bl w:val="nil"/>
                  </w:tcBorders>
                  <w:shd w:val="clear" w:color="auto" w:fill="auto"/>
                  <w:vAlign w:val="center"/>
                </w:tcPr>
                <w:p w14:paraId="3D4615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万元</w:t>
                  </w:r>
                </w:p>
              </w:tc>
              <w:tc>
                <w:tcPr>
                  <w:tcW w:w="1213" w:type="dxa"/>
                  <w:tcBorders>
                    <w:tl2br w:val="nil"/>
                    <w:tr2bl w:val="nil"/>
                  </w:tcBorders>
                  <w:shd w:val="clear" w:color="auto" w:fill="auto"/>
                  <w:vAlign w:val="center"/>
                </w:tcPr>
                <w:p w14:paraId="4D291C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8087.94</w:t>
                  </w:r>
                </w:p>
              </w:tc>
              <w:tc>
                <w:tcPr>
                  <w:tcW w:w="4097" w:type="dxa"/>
                  <w:tcBorders>
                    <w:tl2br w:val="nil"/>
                    <w:tr2bl w:val="nil"/>
                  </w:tcBorders>
                  <w:shd w:val="clear" w:color="auto" w:fill="auto"/>
                  <w:vAlign w:val="center"/>
                </w:tcPr>
                <w:p w14:paraId="079F715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根据概算表汇总</w:t>
                  </w:r>
                </w:p>
              </w:tc>
            </w:tr>
            <w:tr w14:paraId="1AA05F0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663C21E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2.工程建设其他费用（分摊）</w:t>
                  </w:r>
                </w:p>
              </w:tc>
              <w:tc>
                <w:tcPr>
                  <w:tcW w:w="762" w:type="dxa"/>
                  <w:tcBorders>
                    <w:tl2br w:val="nil"/>
                    <w:tr2bl w:val="nil"/>
                  </w:tcBorders>
                  <w:shd w:val="clear" w:color="auto" w:fill="auto"/>
                  <w:vAlign w:val="center"/>
                </w:tcPr>
                <w:p w14:paraId="0722B6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万元</w:t>
                  </w:r>
                </w:p>
              </w:tc>
              <w:tc>
                <w:tcPr>
                  <w:tcW w:w="1213" w:type="dxa"/>
                  <w:tcBorders>
                    <w:tl2br w:val="nil"/>
                    <w:tr2bl w:val="nil"/>
                  </w:tcBorders>
                  <w:shd w:val="clear" w:color="auto" w:fill="auto"/>
                  <w:vAlign w:val="center"/>
                </w:tcPr>
                <w:p w14:paraId="3BBF07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722.6</w:t>
                  </w:r>
                </w:p>
              </w:tc>
              <w:tc>
                <w:tcPr>
                  <w:tcW w:w="4097" w:type="dxa"/>
                  <w:tcBorders>
                    <w:tl2br w:val="nil"/>
                    <w:tr2bl w:val="nil"/>
                  </w:tcBorders>
                  <w:shd w:val="clear" w:color="auto" w:fill="auto"/>
                  <w:vAlign w:val="center"/>
                </w:tcPr>
                <w:p w14:paraId="4669CCE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按工程费比例48.5%分摊</w:t>
                  </w:r>
                </w:p>
              </w:tc>
            </w:tr>
            <w:tr w14:paraId="3FF5842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53049B7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3.预备费（分摊）</w:t>
                  </w:r>
                </w:p>
              </w:tc>
              <w:tc>
                <w:tcPr>
                  <w:tcW w:w="762" w:type="dxa"/>
                  <w:tcBorders>
                    <w:tl2br w:val="nil"/>
                    <w:tr2bl w:val="nil"/>
                  </w:tcBorders>
                  <w:shd w:val="clear" w:color="auto" w:fill="auto"/>
                  <w:vAlign w:val="center"/>
                </w:tcPr>
                <w:p w14:paraId="653DCA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万元</w:t>
                  </w:r>
                </w:p>
              </w:tc>
              <w:tc>
                <w:tcPr>
                  <w:tcW w:w="1213" w:type="dxa"/>
                  <w:tcBorders>
                    <w:tl2br w:val="nil"/>
                    <w:tr2bl w:val="nil"/>
                  </w:tcBorders>
                  <w:shd w:val="clear" w:color="auto" w:fill="auto"/>
                  <w:vAlign w:val="center"/>
                </w:tcPr>
                <w:p w14:paraId="2AB334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704.7</w:t>
                  </w:r>
                </w:p>
              </w:tc>
              <w:tc>
                <w:tcPr>
                  <w:tcW w:w="4097" w:type="dxa"/>
                  <w:tcBorders>
                    <w:tl2br w:val="nil"/>
                    <w:tr2bl w:val="nil"/>
                  </w:tcBorders>
                  <w:shd w:val="clear" w:color="auto" w:fill="auto"/>
                  <w:vAlign w:val="center"/>
                </w:tcPr>
                <w:p w14:paraId="5DB27EFA">
                  <w:pPr>
                    <w:rPr>
                      <w:rFonts w:hint="eastAsia" w:ascii="宋体" w:hAnsi="宋体" w:eastAsia="宋体" w:cs="宋体"/>
                      <w:i w:val="0"/>
                      <w:iCs w:val="0"/>
                      <w:color w:val="000000"/>
                      <w:sz w:val="22"/>
                      <w:szCs w:val="22"/>
                      <w:u w:val="none"/>
                    </w:rPr>
                  </w:pPr>
                </w:p>
              </w:tc>
            </w:tr>
            <w:tr w14:paraId="0242592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306C9A7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4.总投资</w:t>
                  </w:r>
                </w:p>
              </w:tc>
              <w:tc>
                <w:tcPr>
                  <w:tcW w:w="762" w:type="dxa"/>
                  <w:tcBorders>
                    <w:tl2br w:val="nil"/>
                    <w:tr2bl w:val="nil"/>
                  </w:tcBorders>
                  <w:shd w:val="clear" w:color="auto" w:fill="auto"/>
                  <w:vAlign w:val="center"/>
                </w:tcPr>
                <w:p w14:paraId="134460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万元</w:t>
                  </w:r>
                </w:p>
              </w:tc>
              <w:tc>
                <w:tcPr>
                  <w:tcW w:w="1213" w:type="dxa"/>
                  <w:tcBorders>
                    <w:tl2br w:val="nil"/>
                    <w:tr2bl w:val="nil"/>
                  </w:tcBorders>
                  <w:shd w:val="clear" w:color="auto" w:fill="auto"/>
                  <w:vAlign w:val="center"/>
                </w:tcPr>
                <w:p w14:paraId="7B4D49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9515.2</w:t>
                  </w:r>
                </w:p>
              </w:tc>
              <w:tc>
                <w:tcPr>
                  <w:tcW w:w="4097" w:type="dxa"/>
                  <w:tcBorders>
                    <w:tl2br w:val="nil"/>
                    <w:tr2bl w:val="nil"/>
                  </w:tcBorders>
                  <w:shd w:val="clear" w:color="auto" w:fill="auto"/>
                  <w:vAlign w:val="center"/>
                </w:tcPr>
                <w:p w14:paraId="1D7EFFD9">
                  <w:pPr>
                    <w:rPr>
                      <w:rFonts w:hint="eastAsia" w:ascii="宋体" w:hAnsi="宋体" w:eastAsia="宋体" w:cs="宋体"/>
                      <w:i w:val="0"/>
                      <w:iCs w:val="0"/>
                      <w:color w:val="000000"/>
                      <w:sz w:val="22"/>
                      <w:szCs w:val="22"/>
                      <w:u w:val="none"/>
                    </w:rPr>
                  </w:pPr>
                </w:p>
              </w:tc>
            </w:tr>
            <w:tr w14:paraId="0AFBDC1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1865" w:type="dxa"/>
                  <w:tcBorders>
                    <w:tl2br w:val="nil"/>
                    <w:tr2bl w:val="nil"/>
                  </w:tcBorders>
                  <w:shd w:val="clear" w:color="auto" w:fill="auto"/>
                  <w:vAlign w:val="center"/>
                </w:tcPr>
                <w:p w14:paraId="01BF2B7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八、效益分析</w:t>
                  </w:r>
                </w:p>
              </w:tc>
              <w:tc>
                <w:tcPr>
                  <w:tcW w:w="762" w:type="dxa"/>
                  <w:tcBorders>
                    <w:tl2br w:val="nil"/>
                    <w:tr2bl w:val="nil"/>
                  </w:tcBorders>
                  <w:shd w:val="clear" w:color="auto" w:fill="auto"/>
                  <w:vAlign w:val="center"/>
                </w:tcPr>
                <w:p w14:paraId="35ACC9AA">
                  <w:pPr>
                    <w:jc w:val="center"/>
                    <w:rPr>
                      <w:rFonts w:hint="eastAsia" w:ascii="宋体" w:hAnsi="宋体" w:eastAsia="宋体" w:cs="宋体"/>
                      <w:i w:val="0"/>
                      <w:iCs w:val="0"/>
                      <w:color w:val="000000"/>
                      <w:sz w:val="22"/>
                      <w:szCs w:val="22"/>
                      <w:u w:val="none"/>
                    </w:rPr>
                  </w:pPr>
                </w:p>
              </w:tc>
              <w:tc>
                <w:tcPr>
                  <w:tcW w:w="1213" w:type="dxa"/>
                  <w:tcBorders>
                    <w:tl2br w:val="nil"/>
                    <w:tr2bl w:val="nil"/>
                  </w:tcBorders>
                  <w:shd w:val="clear" w:color="auto" w:fill="auto"/>
                  <w:vAlign w:val="center"/>
                </w:tcPr>
                <w:p w14:paraId="4828617F">
                  <w:pPr>
                    <w:jc w:val="center"/>
                    <w:rPr>
                      <w:rFonts w:hint="eastAsia" w:ascii="宋体" w:hAnsi="宋体" w:eastAsia="宋体" w:cs="宋体"/>
                      <w:i w:val="0"/>
                      <w:iCs w:val="0"/>
                      <w:color w:val="000000"/>
                      <w:sz w:val="22"/>
                      <w:szCs w:val="22"/>
                      <w:u w:val="none"/>
                    </w:rPr>
                  </w:pPr>
                </w:p>
              </w:tc>
              <w:tc>
                <w:tcPr>
                  <w:tcW w:w="4097" w:type="dxa"/>
                  <w:tcBorders>
                    <w:tl2br w:val="nil"/>
                    <w:tr2bl w:val="nil"/>
                  </w:tcBorders>
                  <w:shd w:val="clear" w:color="auto" w:fill="auto"/>
                  <w:vAlign w:val="center"/>
                </w:tcPr>
                <w:p w14:paraId="55967EA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解决10处内涝点，保障居民安全</w:t>
                  </w:r>
                </w:p>
              </w:tc>
            </w:tr>
          </w:tbl>
          <w:p w14:paraId="0CA9AD1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b/>
                <w:bCs/>
                <w:color w:val="FF0000"/>
                <w:sz w:val="24"/>
                <w:szCs w:val="24"/>
                <w:lang w:val="en-US" w:eastAsia="zh-CN"/>
              </w:rPr>
            </w:pPr>
          </w:p>
          <w:p w14:paraId="05D2732C">
            <w:pPr>
              <w:pStyle w:val="19"/>
              <w:keepNext/>
              <w:keepLines w:val="0"/>
              <w:pageBreakBefore w:val="0"/>
              <w:widowControl w:val="0"/>
              <w:kinsoku/>
              <w:wordWrap/>
              <w:overflowPunct/>
              <w:topLinePunct w:val="0"/>
              <w:autoSpaceDE/>
              <w:autoSpaceDN/>
              <w:bidi w:val="0"/>
              <w:adjustRightInd/>
              <w:snapToGrid/>
              <w:spacing w:before="0"/>
              <w:textAlignment w:val="auto"/>
              <w:rPr>
                <w:rFonts w:hint="eastAsia"/>
                <w:b w:val="0"/>
                <w:bCs/>
                <w:lang w:val="en-US" w:eastAsia="zh-CN"/>
              </w:rPr>
            </w:pPr>
            <w:r>
              <w:rPr>
                <w:rFonts w:hint="eastAsia"/>
                <w:b w:val="0"/>
                <w:bCs/>
                <w:lang w:val="en-US" w:eastAsia="zh-CN"/>
              </w:rPr>
              <w:t>表2-4  给水工程特性表</w:t>
            </w:r>
          </w:p>
          <w:tbl>
            <w:tblPr>
              <w:tblStyle w:val="9"/>
              <w:tblW w:w="7830"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2030"/>
              <w:gridCol w:w="810"/>
              <w:gridCol w:w="1209"/>
              <w:gridCol w:w="3781"/>
            </w:tblGrid>
            <w:tr w14:paraId="4C5977A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402387D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 目</w:t>
                  </w:r>
                </w:p>
              </w:tc>
              <w:tc>
                <w:tcPr>
                  <w:tcW w:w="810" w:type="dxa"/>
                  <w:tcBorders>
                    <w:tl2br w:val="nil"/>
                    <w:tr2bl w:val="nil"/>
                  </w:tcBorders>
                  <w:shd w:val="clear" w:color="auto" w:fill="auto"/>
                  <w:vAlign w:val="center"/>
                </w:tcPr>
                <w:p w14:paraId="4F3B5A2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单位</w:t>
                  </w:r>
                </w:p>
              </w:tc>
              <w:tc>
                <w:tcPr>
                  <w:tcW w:w="1209" w:type="dxa"/>
                  <w:tcBorders>
                    <w:tl2br w:val="nil"/>
                    <w:tr2bl w:val="nil"/>
                  </w:tcBorders>
                  <w:shd w:val="clear" w:color="auto" w:fill="auto"/>
                  <w:vAlign w:val="center"/>
                </w:tcPr>
                <w:p w14:paraId="3B3427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数量</w:t>
                  </w:r>
                </w:p>
              </w:tc>
              <w:tc>
                <w:tcPr>
                  <w:tcW w:w="3781" w:type="dxa"/>
                  <w:tcBorders>
                    <w:tl2br w:val="nil"/>
                    <w:tr2bl w:val="nil"/>
                  </w:tcBorders>
                  <w:shd w:val="clear" w:color="auto" w:fill="auto"/>
                  <w:vAlign w:val="center"/>
                </w:tcPr>
                <w:p w14:paraId="5A4AB90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备 注</w:t>
                  </w:r>
                </w:p>
              </w:tc>
            </w:tr>
            <w:tr w14:paraId="740AF1F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7830" w:type="dxa"/>
                  <w:gridSpan w:val="4"/>
                  <w:tcBorders>
                    <w:tl2br w:val="nil"/>
                    <w:tr2bl w:val="nil"/>
                  </w:tcBorders>
                  <w:shd w:val="clear" w:color="auto" w:fill="auto"/>
                  <w:vAlign w:val="center"/>
                </w:tcPr>
                <w:p w14:paraId="053A4B50">
                  <w:pP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一、项目区基本情况</w:t>
                  </w:r>
                </w:p>
              </w:tc>
            </w:tr>
            <w:tr w14:paraId="50152F1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7C8FD63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1.项目名称</w:t>
                  </w:r>
                </w:p>
              </w:tc>
              <w:tc>
                <w:tcPr>
                  <w:tcW w:w="810" w:type="dxa"/>
                  <w:tcBorders>
                    <w:tl2br w:val="nil"/>
                    <w:tr2bl w:val="nil"/>
                  </w:tcBorders>
                  <w:shd w:val="clear" w:color="auto" w:fill="auto"/>
                  <w:vAlign w:val="center"/>
                </w:tcPr>
                <w:p w14:paraId="549BDEB1">
                  <w:pPr>
                    <w:rPr>
                      <w:rFonts w:hint="eastAsia" w:ascii="宋体" w:hAnsi="宋体" w:eastAsia="宋体" w:cs="宋体"/>
                      <w:i w:val="0"/>
                      <w:iCs w:val="0"/>
                      <w:color w:val="000000"/>
                      <w:sz w:val="22"/>
                      <w:szCs w:val="22"/>
                      <w:u w:val="none"/>
                    </w:rPr>
                  </w:pPr>
                </w:p>
              </w:tc>
              <w:tc>
                <w:tcPr>
                  <w:tcW w:w="4990" w:type="dxa"/>
                  <w:gridSpan w:val="2"/>
                  <w:tcBorders>
                    <w:tl2br w:val="nil"/>
                    <w:tr2bl w:val="nil"/>
                  </w:tcBorders>
                  <w:shd w:val="clear" w:color="auto" w:fill="auto"/>
                  <w:vAlign w:val="center"/>
                </w:tcPr>
                <w:p w14:paraId="5AEAE95F">
                  <w:pP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岳阳楼区城市排水防洪排涝建设项目</w:t>
                  </w:r>
                </w:p>
              </w:tc>
            </w:tr>
            <w:tr w14:paraId="771E58E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2F95843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2.建设单位</w:t>
                  </w:r>
                </w:p>
              </w:tc>
              <w:tc>
                <w:tcPr>
                  <w:tcW w:w="810" w:type="dxa"/>
                  <w:tcBorders>
                    <w:tl2br w:val="nil"/>
                    <w:tr2bl w:val="nil"/>
                  </w:tcBorders>
                  <w:shd w:val="clear" w:color="auto" w:fill="auto"/>
                  <w:vAlign w:val="center"/>
                </w:tcPr>
                <w:p w14:paraId="189B0E24">
                  <w:pPr>
                    <w:rPr>
                      <w:rFonts w:hint="eastAsia" w:ascii="宋体" w:hAnsi="宋体" w:eastAsia="宋体" w:cs="宋体"/>
                      <w:i w:val="0"/>
                      <w:iCs w:val="0"/>
                      <w:color w:val="000000"/>
                      <w:sz w:val="22"/>
                      <w:szCs w:val="22"/>
                      <w:u w:val="none"/>
                    </w:rPr>
                  </w:pPr>
                </w:p>
              </w:tc>
              <w:tc>
                <w:tcPr>
                  <w:tcW w:w="4990" w:type="dxa"/>
                  <w:gridSpan w:val="2"/>
                  <w:tcBorders>
                    <w:tl2br w:val="nil"/>
                    <w:tr2bl w:val="nil"/>
                  </w:tcBorders>
                  <w:shd w:val="clear" w:color="auto" w:fill="auto"/>
                  <w:vAlign w:val="center"/>
                </w:tcPr>
                <w:p w14:paraId="0EE97DD9">
                  <w:pP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岳阳市岳阳楼区水利局</w:t>
                  </w:r>
                </w:p>
              </w:tc>
            </w:tr>
            <w:tr w14:paraId="3BE22FD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6045DAF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3.项目地点</w:t>
                  </w:r>
                </w:p>
              </w:tc>
              <w:tc>
                <w:tcPr>
                  <w:tcW w:w="810" w:type="dxa"/>
                  <w:tcBorders>
                    <w:tl2br w:val="nil"/>
                    <w:tr2bl w:val="nil"/>
                  </w:tcBorders>
                  <w:shd w:val="clear" w:color="auto" w:fill="auto"/>
                  <w:vAlign w:val="center"/>
                </w:tcPr>
                <w:p w14:paraId="4D8928AB">
                  <w:pPr>
                    <w:rPr>
                      <w:rFonts w:hint="eastAsia" w:ascii="宋体" w:hAnsi="宋体" w:eastAsia="宋体" w:cs="宋体"/>
                      <w:i w:val="0"/>
                      <w:iCs w:val="0"/>
                      <w:color w:val="000000"/>
                      <w:sz w:val="22"/>
                      <w:szCs w:val="22"/>
                      <w:u w:val="none"/>
                    </w:rPr>
                  </w:pPr>
                </w:p>
              </w:tc>
              <w:tc>
                <w:tcPr>
                  <w:tcW w:w="4990" w:type="dxa"/>
                  <w:gridSpan w:val="2"/>
                  <w:tcBorders>
                    <w:tl2br w:val="nil"/>
                    <w:tr2bl w:val="nil"/>
                  </w:tcBorders>
                  <w:shd w:val="clear" w:color="auto" w:fill="auto"/>
                  <w:vAlign w:val="center"/>
                </w:tcPr>
                <w:p w14:paraId="53D0AE4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岳阳楼区梅溪街道、郭镇乡、康王乡等</w:t>
                  </w:r>
                </w:p>
              </w:tc>
            </w:tr>
            <w:tr w14:paraId="6A90294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7830" w:type="dxa"/>
                  <w:gridSpan w:val="4"/>
                  <w:tcBorders>
                    <w:tl2br w:val="nil"/>
                    <w:tr2bl w:val="nil"/>
                  </w:tcBorders>
                  <w:shd w:val="clear" w:color="auto" w:fill="auto"/>
                  <w:vAlign w:val="center"/>
                </w:tcPr>
                <w:p w14:paraId="16AC6FF8">
                  <w:pP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二、设计标准</w:t>
                  </w:r>
                </w:p>
              </w:tc>
            </w:tr>
            <w:tr w14:paraId="1122EF0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63980FA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1.供水水质</w:t>
                  </w:r>
                </w:p>
              </w:tc>
              <w:tc>
                <w:tcPr>
                  <w:tcW w:w="810" w:type="dxa"/>
                  <w:tcBorders>
                    <w:tl2br w:val="nil"/>
                    <w:tr2bl w:val="nil"/>
                  </w:tcBorders>
                  <w:shd w:val="clear" w:color="auto" w:fill="auto"/>
                  <w:vAlign w:val="center"/>
                </w:tcPr>
                <w:p w14:paraId="3D98AD28">
                  <w:pPr>
                    <w:rPr>
                      <w:rFonts w:hint="eastAsia" w:ascii="宋体" w:hAnsi="宋体" w:eastAsia="宋体" w:cs="宋体"/>
                      <w:i w:val="0"/>
                      <w:iCs w:val="0"/>
                      <w:color w:val="000000"/>
                      <w:sz w:val="22"/>
                      <w:szCs w:val="22"/>
                      <w:u w:val="none"/>
                    </w:rPr>
                  </w:pPr>
                </w:p>
              </w:tc>
              <w:tc>
                <w:tcPr>
                  <w:tcW w:w="4990" w:type="dxa"/>
                  <w:gridSpan w:val="2"/>
                  <w:tcBorders>
                    <w:tl2br w:val="nil"/>
                    <w:tr2bl w:val="nil"/>
                  </w:tcBorders>
                  <w:shd w:val="clear" w:color="auto" w:fill="auto"/>
                  <w:vAlign w:val="center"/>
                </w:tcPr>
                <w:p w14:paraId="7CE123FE">
                  <w:pP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《生活饮用水卫生标准》（GB5749-2022）</w:t>
                  </w:r>
                </w:p>
              </w:tc>
            </w:tr>
            <w:tr w14:paraId="7427E14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22C82C5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2.管材</w:t>
                  </w:r>
                </w:p>
              </w:tc>
              <w:tc>
                <w:tcPr>
                  <w:tcW w:w="810" w:type="dxa"/>
                  <w:tcBorders>
                    <w:tl2br w:val="nil"/>
                    <w:tr2bl w:val="nil"/>
                  </w:tcBorders>
                  <w:shd w:val="clear" w:color="auto" w:fill="auto"/>
                  <w:vAlign w:val="center"/>
                </w:tcPr>
                <w:p w14:paraId="177AF0AB">
                  <w:pPr>
                    <w:rPr>
                      <w:rFonts w:hint="eastAsia" w:ascii="宋体" w:hAnsi="宋体" w:eastAsia="宋体" w:cs="宋体"/>
                      <w:i w:val="0"/>
                      <w:iCs w:val="0"/>
                      <w:color w:val="000000"/>
                      <w:sz w:val="22"/>
                      <w:szCs w:val="22"/>
                      <w:u w:val="none"/>
                    </w:rPr>
                  </w:pPr>
                </w:p>
              </w:tc>
              <w:tc>
                <w:tcPr>
                  <w:tcW w:w="4990" w:type="dxa"/>
                  <w:gridSpan w:val="2"/>
                  <w:tcBorders>
                    <w:tl2br w:val="nil"/>
                    <w:tr2bl w:val="nil"/>
                  </w:tcBorders>
                  <w:shd w:val="clear" w:color="auto" w:fill="auto"/>
                  <w:vAlign w:val="center"/>
                </w:tcPr>
                <w:p w14:paraId="7C938BDC">
                  <w:pP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球墨铸铁管（主），涂塑钢管（过路/过河）</w:t>
                  </w:r>
                </w:p>
              </w:tc>
            </w:tr>
            <w:tr w14:paraId="021B1B9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7830" w:type="dxa"/>
                  <w:gridSpan w:val="4"/>
                  <w:tcBorders>
                    <w:tl2br w:val="nil"/>
                    <w:tr2bl w:val="nil"/>
                  </w:tcBorders>
                  <w:shd w:val="clear" w:color="auto" w:fill="auto"/>
                  <w:vAlign w:val="center"/>
                </w:tcPr>
                <w:p w14:paraId="005497DE">
                  <w:pP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三、主要建设内容</w:t>
                  </w:r>
                </w:p>
              </w:tc>
            </w:tr>
            <w:tr w14:paraId="45854BD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479A1C9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1.新建给水管道（＞DN100）</w:t>
                  </w:r>
                </w:p>
              </w:tc>
              <w:tc>
                <w:tcPr>
                  <w:tcW w:w="810" w:type="dxa"/>
                  <w:tcBorders>
                    <w:tl2br w:val="nil"/>
                    <w:tr2bl w:val="nil"/>
                  </w:tcBorders>
                  <w:shd w:val="clear" w:color="auto" w:fill="auto"/>
                  <w:vAlign w:val="center"/>
                </w:tcPr>
                <w:p w14:paraId="581247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1209" w:type="dxa"/>
                  <w:tcBorders>
                    <w:tl2br w:val="nil"/>
                    <w:tr2bl w:val="nil"/>
                  </w:tcBorders>
                  <w:shd w:val="clear" w:color="auto" w:fill="auto"/>
                  <w:vAlign w:val="center"/>
                </w:tcPr>
                <w:p w14:paraId="78AA26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41880</w:t>
                  </w:r>
                </w:p>
              </w:tc>
              <w:tc>
                <w:tcPr>
                  <w:tcW w:w="3781" w:type="dxa"/>
                  <w:tcBorders>
                    <w:tl2br w:val="nil"/>
                    <w:tr2bl w:val="nil"/>
                  </w:tcBorders>
                  <w:shd w:val="clear" w:color="auto" w:fill="auto"/>
                  <w:vAlign w:val="center"/>
                </w:tcPr>
                <w:p w14:paraId="12233FB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DN200、DN150、DN100</w:t>
                  </w:r>
                </w:p>
              </w:tc>
            </w:tr>
            <w:tr w14:paraId="02F27CF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2DE3B74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2.新建给水管道（≤DN100）</w:t>
                  </w:r>
                </w:p>
              </w:tc>
              <w:tc>
                <w:tcPr>
                  <w:tcW w:w="810" w:type="dxa"/>
                  <w:tcBorders>
                    <w:tl2br w:val="nil"/>
                    <w:tr2bl w:val="nil"/>
                  </w:tcBorders>
                  <w:shd w:val="clear" w:color="auto" w:fill="auto"/>
                  <w:vAlign w:val="center"/>
                </w:tcPr>
                <w:p w14:paraId="13FAD7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w:t>
                  </w:r>
                </w:p>
              </w:tc>
              <w:tc>
                <w:tcPr>
                  <w:tcW w:w="1209" w:type="dxa"/>
                  <w:tcBorders>
                    <w:tl2br w:val="nil"/>
                    <w:tr2bl w:val="nil"/>
                  </w:tcBorders>
                  <w:shd w:val="clear" w:color="auto" w:fill="auto"/>
                  <w:vAlign w:val="center"/>
                </w:tcPr>
                <w:p w14:paraId="6DBFF9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57600</w:t>
                  </w:r>
                </w:p>
              </w:tc>
              <w:tc>
                <w:tcPr>
                  <w:tcW w:w="3781" w:type="dxa"/>
                  <w:tcBorders>
                    <w:tl2br w:val="nil"/>
                    <w:tr2bl w:val="nil"/>
                  </w:tcBorders>
                  <w:shd w:val="clear" w:color="auto" w:fill="auto"/>
                  <w:vAlign w:val="center"/>
                </w:tcPr>
                <w:p w14:paraId="0E79CB3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DN50、DN54等</w:t>
                  </w:r>
                </w:p>
              </w:tc>
            </w:tr>
            <w:tr w14:paraId="355DB2B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475403B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3.水表安装</w:t>
                  </w:r>
                </w:p>
              </w:tc>
              <w:tc>
                <w:tcPr>
                  <w:tcW w:w="810" w:type="dxa"/>
                  <w:tcBorders>
                    <w:tl2br w:val="nil"/>
                    <w:tr2bl w:val="nil"/>
                  </w:tcBorders>
                  <w:shd w:val="clear" w:color="auto" w:fill="auto"/>
                  <w:vAlign w:val="center"/>
                </w:tcPr>
                <w:p w14:paraId="001391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组</w:t>
                  </w:r>
                </w:p>
              </w:tc>
              <w:tc>
                <w:tcPr>
                  <w:tcW w:w="1209" w:type="dxa"/>
                  <w:tcBorders>
                    <w:tl2br w:val="nil"/>
                    <w:tr2bl w:val="nil"/>
                  </w:tcBorders>
                  <w:shd w:val="clear" w:color="auto" w:fill="auto"/>
                  <w:vAlign w:val="center"/>
                </w:tcPr>
                <w:p w14:paraId="2397E3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3803</w:t>
                  </w:r>
                </w:p>
              </w:tc>
              <w:tc>
                <w:tcPr>
                  <w:tcW w:w="3781" w:type="dxa"/>
                  <w:tcBorders>
                    <w:tl2br w:val="nil"/>
                    <w:tr2bl w:val="nil"/>
                  </w:tcBorders>
                  <w:shd w:val="clear" w:color="auto" w:fill="auto"/>
                  <w:vAlign w:val="center"/>
                </w:tcPr>
                <w:p w14:paraId="529AFAE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含胥家桥171组、郭镇乡3614户、乌江村18户</w:t>
                  </w:r>
                </w:p>
              </w:tc>
            </w:tr>
            <w:tr w14:paraId="4DA9512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5E6747E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4.加压泵站</w:t>
                  </w:r>
                </w:p>
              </w:tc>
              <w:tc>
                <w:tcPr>
                  <w:tcW w:w="810" w:type="dxa"/>
                  <w:tcBorders>
                    <w:tl2br w:val="nil"/>
                    <w:tr2bl w:val="nil"/>
                  </w:tcBorders>
                  <w:shd w:val="clear" w:color="auto" w:fill="auto"/>
                  <w:vAlign w:val="center"/>
                </w:tcPr>
                <w:p w14:paraId="01DC5F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座</w:t>
                  </w:r>
                </w:p>
              </w:tc>
              <w:tc>
                <w:tcPr>
                  <w:tcW w:w="1209" w:type="dxa"/>
                  <w:tcBorders>
                    <w:tl2br w:val="nil"/>
                    <w:tr2bl w:val="nil"/>
                  </w:tcBorders>
                  <w:shd w:val="clear" w:color="auto" w:fill="auto"/>
                  <w:vAlign w:val="center"/>
                </w:tcPr>
                <w:p w14:paraId="1C8F3E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3781" w:type="dxa"/>
                  <w:tcBorders>
                    <w:tl2br w:val="nil"/>
                    <w:tr2bl w:val="nil"/>
                  </w:tcBorders>
                  <w:shd w:val="clear" w:color="auto" w:fill="auto"/>
                  <w:vAlign w:val="center"/>
                </w:tcPr>
                <w:p w14:paraId="429B30E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highlight w:val="none"/>
                      <w:u w:val="none"/>
                      <w:lang w:val="en-US" w:eastAsia="zh-CN" w:bidi="ar"/>
                    </w:rPr>
                    <w:t>郭镇乡仓田</w:t>
                  </w:r>
                  <w:r>
                    <w:rPr>
                      <w:rFonts w:hint="eastAsia" w:ascii="宋体" w:hAnsi="宋体" w:eastAsia="宋体" w:cs="宋体"/>
                      <w:i w:val="0"/>
                      <w:iCs w:val="0"/>
                      <w:color w:val="000000"/>
                      <w:kern w:val="0"/>
                      <w:sz w:val="22"/>
                      <w:szCs w:val="22"/>
                      <w:highlight w:val="none"/>
                      <w:u w:val="none"/>
                      <w:lang w:val="en-US" w:eastAsia="zh-CN" w:bidi="ar"/>
                    </w:rPr>
                    <w:t>村</w:t>
                  </w:r>
                  <w:r>
                    <w:rPr>
                      <w:rFonts w:hint="eastAsia" w:ascii="宋体" w:hAnsi="宋体" w:cs="宋体"/>
                      <w:i w:val="0"/>
                      <w:iCs w:val="0"/>
                      <w:color w:val="000000"/>
                      <w:kern w:val="0"/>
                      <w:sz w:val="22"/>
                      <w:szCs w:val="22"/>
                      <w:highlight w:val="none"/>
                      <w:u w:val="none"/>
                      <w:lang w:val="en-US" w:eastAsia="zh-CN" w:bidi="ar"/>
                    </w:rPr>
                    <w:t>新建（原址拆除重建）</w:t>
                  </w:r>
                </w:p>
              </w:tc>
            </w:tr>
            <w:tr w14:paraId="464EE32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7830" w:type="dxa"/>
                  <w:gridSpan w:val="4"/>
                  <w:tcBorders>
                    <w:tl2br w:val="nil"/>
                    <w:tr2bl w:val="nil"/>
                  </w:tcBorders>
                  <w:shd w:val="clear" w:color="auto" w:fill="auto"/>
                  <w:vAlign w:val="center"/>
                </w:tcPr>
                <w:p w14:paraId="511E6206">
                  <w:pPr>
                    <w:rPr>
                      <w:rFonts w:hint="eastAsia" w:ascii="宋体" w:hAnsi="宋体" w:eastAsia="宋体" w:cs="宋体"/>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四、主要工程量（推算）</w:t>
                  </w:r>
                </w:p>
              </w:tc>
            </w:tr>
            <w:tr w14:paraId="046ED47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41F737E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1.土石方开挖</w:t>
                  </w:r>
                </w:p>
              </w:tc>
              <w:tc>
                <w:tcPr>
                  <w:tcW w:w="810" w:type="dxa"/>
                  <w:tcBorders>
                    <w:tl2br w:val="nil"/>
                    <w:tr2bl w:val="nil"/>
                  </w:tcBorders>
                  <w:shd w:val="clear" w:color="auto" w:fill="auto"/>
                  <w:vAlign w:val="center"/>
                </w:tcPr>
                <w:p w14:paraId="356A07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m³</w:t>
                  </w:r>
                </w:p>
              </w:tc>
              <w:tc>
                <w:tcPr>
                  <w:tcW w:w="1209" w:type="dxa"/>
                  <w:tcBorders>
                    <w:tl2br w:val="nil"/>
                    <w:tr2bl w:val="nil"/>
                  </w:tcBorders>
                  <w:shd w:val="clear" w:color="auto" w:fill="auto"/>
                  <w:vAlign w:val="center"/>
                </w:tcPr>
                <w:p w14:paraId="59347347">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eastAsia="宋体" w:cs="宋体"/>
                      <w:i w:val="0"/>
                      <w:iCs w:val="0"/>
                      <w:color w:val="000000"/>
                      <w:kern w:val="0"/>
                      <w:sz w:val="22"/>
                      <w:szCs w:val="22"/>
                      <w:u w:val="none"/>
                      <w:lang w:val="en-US" w:eastAsia="zh-CN" w:bidi="ar"/>
                    </w:rPr>
                    <w:t>15000</w:t>
                  </w:r>
                </w:p>
              </w:tc>
              <w:tc>
                <w:tcPr>
                  <w:tcW w:w="3781" w:type="dxa"/>
                  <w:tcBorders>
                    <w:tl2br w:val="nil"/>
                    <w:tr2bl w:val="nil"/>
                  </w:tcBorders>
                  <w:shd w:val="clear" w:color="auto" w:fill="auto"/>
                  <w:vAlign w:val="center"/>
                </w:tcPr>
                <w:p w14:paraId="604D909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开挖、顶管工艺</w:t>
                  </w:r>
                </w:p>
              </w:tc>
            </w:tr>
            <w:tr w14:paraId="2A266ED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483AEA9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2.土方回填</w:t>
                  </w:r>
                </w:p>
              </w:tc>
              <w:tc>
                <w:tcPr>
                  <w:tcW w:w="810" w:type="dxa"/>
                  <w:tcBorders>
                    <w:tl2br w:val="nil"/>
                    <w:tr2bl w:val="nil"/>
                  </w:tcBorders>
                  <w:shd w:val="clear" w:color="auto" w:fill="auto"/>
                  <w:vAlign w:val="center"/>
                </w:tcPr>
                <w:p w14:paraId="416B10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m³</w:t>
                  </w:r>
                </w:p>
              </w:tc>
              <w:tc>
                <w:tcPr>
                  <w:tcW w:w="1209" w:type="dxa"/>
                  <w:tcBorders>
                    <w:tl2br w:val="nil"/>
                    <w:tr2bl w:val="nil"/>
                  </w:tcBorders>
                  <w:shd w:val="clear" w:color="auto" w:fill="auto"/>
                  <w:vAlign w:val="center"/>
                </w:tcPr>
                <w:p w14:paraId="067A52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12000</w:t>
                  </w:r>
                </w:p>
              </w:tc>
              <w:tc>
                <w:tcPr>
                  <w:tcW w:w="3781" w:type="dxa"/>
                  <w:tcBorders>
                    <w:tl2br w:val="nil"/>
                    <w:tr2bl w:val="nil"/>
                  </w:tcBorders>
                  <w:shd w:val="clear" w:color="auto" w:fill="auto"/>
                  <w:vAlign w:val="center"/>
                </w:tcPr>
                <w:p w14:paraId="5427ADE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扣除管道体积后回填</w:t>
                  </w:r>
                </w:p>
              </w:tc>
            </w:tr>
            <w:tr w14:paraId="65FD525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05AE49A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3.混凝土浇筑</w:t>
                  </w:r>
                </w:p>
              </w:tc>
              <w:tc>
                <w:tcPr>
                  <w:tcW w:w="810" w:type="dxa"/>
                  <w:tcBorders>
                    <w:tl2br w:val="nil"/>
                    <w:tr2bl w:val="nil"/>
                  </w:tcBorders>
                  <w:shd w:val="clear" w:color="auto" w:fill="auto"/>
                  <w:vAlign w:val="center"/>
                </w:tcPr>
                <w:p w14:paraId="7FEC17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m³</w:t>
                  </w:r>
                </w:p>
              </w:tc>
              <w:tc>
                <w:tcPr>
                  <w:tcW w:w="1209" w:type="dxa"/>
                  <w:tcBorders>
                    <w:tl2br w:val="nil"/>
                    <w:tr2bl w:val="nil"/>
                  </w:tcBorders>
                  <w:shd w:val="clear" w:color="auto" w:fill="auto"/>
                  <w:vAlign w:val="center"/>
                </w:tcPr>
                <w:p w14:paraId="113824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550</w:t>
                  </w:r>
                </w:p>
              </w:tc>
              <w:tc>
                <w:tcPr>
                  <w:tcW w:w="3781" w:type="dxa"/>
                  <w:tcBorders>
                    <w:tl2br w:val="nil"/>
                    <w:tr2bl w:val="nil"/>
                  </w:tcBorders>
                  <w:shd w:val="clear" w:color="auto" w:fill="auto"/>
                  <w:vAlign w:val="center"/>
                </w:tcPr>
                <w:p w14:paraId="622C0C4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含阀门井、排气井、排泥井（约300座，每座1.5m³）及泵站基础（50m³）</w:t>
                  </w:r>
                </w:p>
              </w:tc>
            </w:tr>
            <w:tr w14:paraId="55F86EF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15FCAA5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4.钢筋制安</w:t>
                  </w:r>
                </w:p>
              </w:tc>
              <w:tc>
                <w:tcPr>
                  <w:tcW w:w="810" w:type="dxa"/>
                  <w:tcBorders>
                    <w:tl2br w:val="nil"/>
                    <w:tr2bl w:val="nil"/>
                  </w:tcBorders>
                  <w:shd w:val="clear" w:color="auto" w:fill="auto"/>
                  <w:vAlign w:val="center"/>
                </w:tcPr>
                <w:p w14:paraId="58DBAB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w:t>
                  </w:r>
                </w:p>
              </w:tc>
              <w:tc>
                <w:tcPr>
                  <w:tcW w:w="1209" w:type="dxa"/>
                  <w:tcBorders>
                    <w:tl2br w:val="nil"/>
                    <w:tr2bl w:val="nil"/>
                  </w:tcBorders>
                  <w:shd w:val="clear" w:color="auto" w:fill="auto"/>
                  <w:vAlign w:val="center"/>
                </w:tcPr>
                <w:p w14:paraId="37DB01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3781" w:type="dxa"/>
                  <w:tcBorders>
                    <w:tl2br w:val="nil"/>
                    <w:tr2bl w:val="nil"/>
                  </w:tcBorders>
                  <w:shd w:val="clear" w:color="auto" w:fill="auto"/>
                  <w:vAlign w:val="center"/>
                </w:tcPr>
                <w:p w14:paraId="606F793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井室及泵站配筋</w:t>
                  </w:r>
                  <w:r>
                    <w:rPr>
                      <w:rFonts w:hint="eastAsia" w:ascii="宋体" w:hAnsi="宋体" w:cs="宋体"/>
                      <w:i w:val="0"/>
                      <w:iCs w:val="0"/>
                      <w:color w:val="000000"/>
                      <w:kern w:val="0"/>
                      <w:sz w:val="22"/>
                      <w:szCs w:val="22"/>
                      <w:u w:val="none"/>
                      <w:lang w:val="en-US" w:eastAsia="zh-CN" w:bidi="ar"/>
                    </w:rPr>
                    <w:t>（外购定制）</w:t>
                  </w:r>
                </w:p>
              </w:tc>
            </w:tr>
            <w:tr w14:paraId="30F82F3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4EBBC64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5.管道安装</w:t>
                  </w:r>
                </w:p>
              </w:tc>
              <w:tc>
                <w:tcPr>
                  <w:tcW w:w="810" w:type="dxa"/>
                  <w:tcBorders>
                    <w:tl2br w:val="nil"/>
                    <w:tr2bl w:val="nil"/>
                  </w:tcBorders>
                  <w:shd w:val="clear" w:color="auto" w:fill="auto"/>
                  <w:vAlign w:val="center"/>
                </w:tcPr>
                <w:p w14:paraId="2AF593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m</w:t>
                  </w:r>
                </w:p>
              </w:tc>
              <w:tc>
                <w:tcPr>
                  <w:tcW w:w="1209" w:type="dxa"/>
                  <w:tcBorders>
                    <w:tl2br w:val="nil"/>
                    <w:tr2bl w:val="nil"/>
                  </w:tcBorders>
                  <w:shd w:val="clear" w:color="auto" w:fill="auto"/>
                  <w:vAlign w:val="center"/>
                </w:tcPr>
                <w:p w14:paraId="461DA0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99480</w:t>
                  </w:r>
                </w:p>
              </w:tc>
              <w:tc>
                <w:tcPr>
                  <w:tcW w:w="3781" w:type="dxa"/>
                  <w:tcBorders>
                    <w:tl2br w:val="nil"/>
                    <w:tr2bl w:val="nil"/>
                  </w:tcBorders>
                  <w:shd w:val="clear" w:color="auto" w:fill="auto"/>
                  <w:vAlign w:val="center"/>
                </w:tcPr>
                <w:p w14:paraId="60803B4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含各种管径</w:t>
                  </w:r>
                </w:p>
              </w:tc>
            </w:tr>
            <w:tr w14:paraId="195FB1F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0C8462B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五、施工工期</w:t>
                  </w:r>
                </w:p>
              </w:tc>
              <w:tc>
                <w:tcPr>
                  <w:tcW w:w="810" w:type="dxa"/>
                  <w:tcBorders>
                    <w:tl2br w:val="nil"/>
                    <w:tr2bl w:val="nil"/>
                  </w:tcBorders>
                  <w:shd w:val="clear" w:color="auto" w:fill="auto"/>
                  <w:vAlign w:val="center"/>
                </w:tcPr>
                <w:p w14:paraId="0FA64C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月</w:t>
                  </w:r>
                </w:p>
              </w:tc>
              <w:tc>
                <w:tcPr>
                  <w:tcW w:w="1209" w:type="dxa"/>
                  <w:tcBorders>
                    <w:tl2br w:val="nil"/>
                    <w:tr2bl w:val="nil"/>
                  </w:tcBorders>
                  <w:shd w:val="clear" w:color="auto" w:fill="auto"/>
                  <w:vAlign w:val="center"/>
                </w:tcPr>
                <w:p w14:paraId="1F417D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3781" w:type="dxa"/>
                  <w:tcBorders>
                    <w:tl2br w:val="nil"/>
                    <w:tr2bl w:val="nil"/>
                  </w:tcBorders>
                  <w:shd w:val="clear" w:color="auto" w:fill="auto"/>
                  <w:vAlign w:val="center"/>
                </w:tcPr>
                <w:p w14:paraId="6ED30EF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与防洪排涝工程同步</w:t>
                  </w:r>
                </w:p>
              </w:tc>
            </w:tr>
            <w:tr w14:paraId="0416803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7830" w:type="dxa"/>
                  <w:gridSpan w:val="4"/>
                  <w:tcBorders>
                    <w:tl2br w:val="nil"/>
                    <w:tr2bl w:val="nil"/>
                  </w:tcBorders>
                  <w:shd w:val="clear" w:color="auto" w:fill="auto"/>
                  <w:vAlign w:val="center"/>
                </w:tcPr>
                <w:p w14:paraId="18753FA2">
                  <w:pP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六、工程征地</w:t>
                  </w:r>
                </w:p>
              </w:tc>
            </w:tr>
            <w:tr w14:paraId="66BF4AA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2BA5E5D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1.永久征地</w:t>
                  </w:r>
                </w:p>
              </w:tc>
              <w:tc>
                <w:tcPr>
                  <w:tcW w:w="810" w:type="dxa"/>
                  <w:tcBorders>
                    <w:tl2br w:val="nil"/>
                    <w:tr2bl w:val="nil"/>
                  </w:tcBorders>
                  <w:shd w:val="clear" w:color="auto" w:fill="auto"/>
                  <w:vAlign w:val="center"/>
                </w:tcPr>
                <w:p w14:paraId="1C8294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亩</w:t>
                  </w:r>
                </w:p>
              </w:tc>
              <w:tc>
                <w:tcPr>
                  <w:tcW w:w="1209" w:type="dxa"/>
                  <w:tcBorders>
                    <w:tl2br w:val="nil"/>
                    <w:tr2bl w:val="nil"/>
                  </w:tcBorders>
                  <w:shd w:val="clear" w:color="auto" w:fill="auto"/>
                  <w:vAlign w:val="center"/>
                </w:tcPr>
                <w:p w14:paraId="2051AD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3781" w:type="dxa"/>
                  <w:tcBorders>
                    <w:tl2br w:val="nil"/>
                    <w:tr2bl w:val="nil"/>
                  </w:tcBorders>
                  <w:shd w:val="clear" w:color="auto" w:fill="auto"/>
                  <w:vAlign w:val="center"/>
                </w:tcPr>
                <w:p w14:paraId="66DA6C1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无</w:t>
                  </w:r>
                </w:p>
              </w:tc>
            </w:tr>
            <w:tr w14:paraId="4C20AD4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3DBCCE6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2.临时占地</w:t>
                  </w:r>
                </w:p>
              </w:tc>
              <w:tc>
                <w:tcPr>
                  <w:tcW w:w="810" w:type="dxa"/>
                  <w:tcBorders>
                    <w:tl2br w:val="nil"/>
                    <w:tr2bl w:val="nil"/>
                  </w:tcBorders>
                  <w:shd w:val="clear" w:color="auto" w:fill="auto"/>
                  <w:vAlign w:val="center"/>
                </w:tcPr>
                <w:p w14:paraId="2BB314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亩</w:t>
                  </w:r>
                </w:p>
              </w:tc>
              <w:tc>
                <w:tcPr>
                  <w:tcW w:w="1209" w:type="dxa"/>
                  <w:tcBorders>
                    <w:tl2br w:val="nil"/>
                    <w:tr2bl w:val="nil"/>
                  </w:tcBorders>
                  <w:shd w:val="clear" w:color="auto" w:fill="auto"/>
                  <w:vAlign w:val="center"/>
                </w:tcPr>
                <w:p w14:paraId="29045A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3781" w:type="dxa"/>
                  <w:tcBorders>
                    <w:tl2br w:val="nil"/>
                    <w:tr2bl w:val="nil"/>
                  </w:tcBorders>
                  <w:shd w:val="clear" w:color="auto" w:fill="auto"/>
                  <w:vAlign w:val="center"/>
                </w:tcPr>
                <w:p w14:paraId="05FA4A3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管道施工临时占地</w:t>
                  </w:r>
                </w:p>
              </w:tc>
            </w:tr>
            <w:tr w14:paraId="546FB65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7830" w:type="dxa"/>
                  <w:gridSpan w:val="4"/>
                  <w:tcBorders>
                    <w:tl2br w:val="nil"/>
                    <w:tr2bl w:val="nil"/>
                  </w:tcBorders>
                  <w:shd w:val="clear" w:color="auto" w:fill="auto"/>
                  <w:vAlign w:val="center"/>
                </w:tcPr>
                <w:p w14:paraId="27C29D5C">
                  <w:pP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七、经济指标</w:t>
                  </w:r>
                </w:p>
              </w:tc>
            </w:tr>
            <w:tr w14:paraId="5235A83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291FED2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1.工程费用（建安）</w:t>
                  </w:r>
                </w:p>
              </w:tc>
              <w:tc>
                <w:tcPr>
                  <w:tcW w:w="810" w:type="dxa"/>
                  <w:tcBorders>
                    <w:tl2br w:val="nil"/>
                    <w:tr2bl w:val="nil"/>
                  </w:tcBorders>
                  <w:shd w:val="clear" w:color="auto" w:fill="auto"/>
                  <w:vAlign w:val="center"/>
                </w:tcPr>
                <w:p w14:paraId="7DE5B6E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万元</w:t>
                  </w:r>
                </w:p>
              </w:tc>
              <w:tc>
                <w:tcPr>
                  <w:tcW w:w="1209" w:type="dxa"/>
                  <w:tcBorders>
                    <w:tl2br w:val="nil"/>
                    <w:tr2bl w:val="nil"/>
                  </w:tcBorders>
                  <w:shd w:val="clear" w:color="auto" w:fill="auto"/>
                  <w:vAlign w:val="center"/>
                </w:tcPr>
                <w:p w14:paraId="4F7BC7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8572.3</w:t>
                  </w:r>
                </w:p>
              </w:tc>
              <w:tc>
                <w:tcPr>
                  <w:tcW w:w="3781" w:type="dxa"/>
                  <w:tcBorders>
                    <w:tl2br w:val="nil"/>
                    <w:tr2bl w:val="nil"/>
                  </w:tcBorders>
                  <w:shd w:val="clear" w:color="auto" w:fill="auto"/>
                  <w:vAlign w:val="center"/>
                </w:tcPr>
                <w:p w14:paraId="3C2E819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根据概算表汇总</w:t>
                  </w:r>
                </w:p>
              </w:tc>
            </w:tr>
            <w:tr w14:paraId="36C32FF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632CF57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2.工程建设其他费用（分摊）</w:t>
                  </w:r>
                </w:p>
              </w:tc>
              <w:tc>
                <w:tcPr>
                  <w:tcW w:w="810" w:type="dxa"/>
                  <w:tcBorders>
                    <w:tl2br w:val="nil"/>
                    <w:tr2bl w:val="nil"/>
                  </w:tcBorders>
                  <w:shd w:val="clear" w:color="auto" w:fill="auto"/>
                  <w:vAlign w:val="center"/>
                </w:tcPr>
                <w:p w14:paraId="3C0A32A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万元</w:t>
                  </w:r>
                </w:p>
              </w:tc>
              <w:tc>
                <w:tcPr>
                  <w:tcW w:w="1209" w:type="dxa"/>
                  <w:tcBorders>
                    <w:tl2br w:val="nil"/>
                    <w:tr2bl w:val="nil"/>
                  </w:tcBorders>
                  <w:shd w:val="clear" w:color="auto" w:fill="auto"/>
                  <w:vAlign w:val="center"/>
                </w:tcPr>
                <w:p w14:paraId="24FBBF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766.2</w:t>
                  </w:r>
                </w:p>
              </w:tc>
              <w:tc>
                <w:tcPr>
                  <w:tcW w:w="3781" w:type="dxa"/>
                  <w:tcBorders>
                    <w:tl2br w:val="nil"/>
                    <w:tr2bl w:val="nil"/>
                  </w:tcBorders>
                  <w:shd w:val="clear" w:color="auto" w:fill="auto"/>
                  <w:vAlign w:val="center"/>
                </w:tcPr>
                <w:p w14:paraId="4F292D7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按工程费比例51.5%分摊</w:t>
                  </w:r>
                </w:p>
              </w:tc>
            </w:tr>
            <w:tr w14:paraId="786FA66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3B0EEB7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3.预备费（分摊）</w:t>
                  </w:r>
                </w:p>
              </w:tc>
              <w:tc>
                <w:tcPr>
                  <w:tcW w:w="810" w:type="dxa"/>
                  <w:tcBorders>
                    <w:tl2br w:val="nil"/>
                    <w:tr2bl w:val="nil"/>
                  </w:tcBorders>
                  <w:shd w:val="clear" w:color="auto" w:fill="auto"/>
                  <w:vAlign w:val="center"/>
                </w:tcPr>
                <w:p w14:paraId="4DAA73B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万元</w:t>
                  </w:r>
                </w:p>
              </w:tc>
              <w:tc>
                <w:tcPr>
                  <w:tcW w:w="1209" w:type="dxa"/>
                  <w:tcBorders>
                    <w:tl2br w:val="nil"/>
                    <w:tr2bl w:val="nil"/>
                  </w:tcBorders>
                  <w:shd w:val="clear" w:color="auto" w:fill="auto"/>
                  <w:vAlign w:val="center"/>
                </w:tcPr>
                <w:p w14:paraId="0B3CF5D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747.2</w:t>
                  </w:r>
                </w:p>
              </w:tc>
              <w:tc>
                <w:tcPr>
                  <w:tcW w:w="3781" w:type="dxa"/>
                  <w:tcBorders>
                    <w:tl2br w:val="nil"/>
                    <w:tr2bl w:val="nil"/>
                  </w:tcBorders>
                  <w:shd w:val="clear" w:color="auto" w:fill="auto"/>
                  <w:vAlign w:val="center"/>
                </w:tcPr>
                <w:p w14:paraId="3B0CFC4C">
                  <w:pPr>
                    <w:rPr>
                      <w:rFonts w:hint="eastAsia" w:ascii="宋体" w:hAnsi="宋体" w:eastAsia="宋体" w:cs="宋体"/>
                      <w:i w:val="0"/>
                      <w:iCs w:val="0"/>
                      <w:color w:val="000000"/>
                      <w:sz w:val="22"/>
                      <w:szCs w:val="22"/>
                      <w:u w:val="none"/>
                    </w:rPr>
                  </w:pPr>
                </w:p>
              </w:tc>
            </w:tr>
            <w:tr w14:paraId="6E63AE6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1531652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4.总投资</w:t>
                  </w:r>
                </w:p>
              </w:tc>
              <w:tc>
                <w:tcPr>
                  <w:tcW w:w="810" w:type="dxa"/>
                  <w:tcBorders>
                    <w:tl2br w:val="nil"/>
                    <w:tr2bl w:val="nil"/>
                  </w:tcBorders>
                  <w:shd w:val="clear" w:color="auto" w:fill="auto"/>
                  <w:vAlign w:val="center"/>
                </w:tcPr>
                <w:p w14:paraId="12B07E6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万元</w:t>
                  </w:r>
                </w:p>
              </w:tc>
              <w:tc>
                <w:tcPr>
                  <w:tcW w:w="1209" w:type="dxa"/>
                  <w:tcBorders>
                    <w:tl2br w:val="nil"/>
                    <w:tr2bl w:val="nil"/>
                  </w:tcBorders>
                  <w:shd w:val="clear" w:color="auto" w:fill="auto"/>
                  <w:vAlign w:val="center"/>
                </w:tcPr>
                <w:p w14:paraId="0384BE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10085.7</w:t>
                  </w:r>
                </w:p>
              </w:tc>
              <w:tc>
                <w:tcPr>
                  <w:tcW w:w="3781" w:type="dxa"/>
                  <w:tcBorders>
                    <w:tl2br w:val="nil"/>
                    <w:tr2bl w:val="nil"/>
                  </w:tcBorders>
                  <w:shd w:val="clear" w:color="auto" w:fill="auto"/>
                  <w:vAlign w:val="center"/>
                </w:tcPr>
                <w:p w14:paraId="26F9FE9B">
                  <w:pPr>
                    <w:rPr>
                      <w:rFonts w:hint="eastAsia" w:ascii="宋体" w:hAnsi="宋体" w:eastAsia="宋体" w:cs="宋体"/>
                      <w:i w:val="0"/>
                      <w:iCs w:val="0"/>
                      <w:color w:val="000000"/>
                      <w:sz w:val="22"/>
                      <w:szCs w:val="22"/>
                      <w:u w:val="none"/>
                    </w:rPr>
                  </w:pPr>
                </w:p>
              </w:tc>
            </w:tr>
            <w:tr w14:paraId="503AC70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2030" w:type="dxa"/>
                  <w:tcBorders>
                    <w:tl2br w:val="nil"/>
                    <w:tr2bl w:val="nil"/>
                  </w:tcBorders>
                  <w:shd w:val="clear" w:color="auto" w:fill="auto"/>
                  <w:vAlign w:val="center"/>
                </w:tcPr>
                <w:p w14:paraId="3F6019A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八、效益分析</w:t>
                  </w:r>
                </w:p>
              </w:tc>
              <w:tc>
                <w:tcPr>
                  <w:tcW w:w="810" w:type="dxa"/>
                  <w:tcBorders>
                    <w:tl2br w:val="nil"/>
                    <w:tr2bl w:val="nil"/>
                  </w:tcBorders>
                  <w:shd w:val="clear" w:color="auto" w:fill="auto"/>
                  <w:vAlign w:val="center"/>
                </w:tcPr>
                <w:p w14:paraId="3F754046">
                  <w:pPr>
                    <w:rPr>
                      <w:rFonts w:hint="eastAsia" w:ascii="宋体" w:hAnsi="宋体" w:eastAsia="宋体" w:cs="宋体"/>
                      <w:i w:val="0"/>
                      <w:iCs w:val="0"/>
                      <w:color w:val="000000"/>
                      <w:sz w:val="22"/>
                      <w:szCs w:val="22"/>
                      <w:u w:val="none"/>
                    </w:rPr>
                  </w:pPr>
                </w:p>
              </w:tc>
              <w:tc>
                <w:tcPr>
                  <w:tcW w:w="1209" w:type="dxa"/>
                  <w:tcBorders>
                    <w:tl2br w:val="nil"/>
                    <w:tr2bl w:val="nil"/>
                  </w:tcBorders>
                  <w:shd w:val="clear" w:color="auto" w:fill="auto"/>
                  <w:vAlign w:val="center"/>
                </w:tcPr>
                <w:p w14:paraId="721E0D9F">
                  <w:pPr>
                    <w:jc w:val="center"/>
                    <w:rPr>
                      <w:rFonts w:hint="eastAsia" w:ascii="宋体" w:hAnsi="宋体" w:eastAsia="宋体" w:cs="宋体"/>
                      <w:i w:val="0"/>
                      <w:iCs w:val="0"/>
                      <w:color w:val="000000"/>
                      <w:sz w:val="22"/>
                      <w:szCs w:val="22"/>
                      <w:u w:val="none"/>
                    </w:rPr>
                  </w:pPr>
                </w:p>
              </w:tc>
              <w:tc>
                <w:tcPr>
                  <w:tcW w:w="3781" w:type="dxa"/>
                  <w:tcBorders>
                    <w:tl2br w:val="nil"/>
                    <w:tr2bl w:val="nil"/>
                  </w:tcBorders>
                  <w:shd w:val="clear" w:color="auto" w:fill="auto"/>
                  <w:vAlign w:val="center"/>
                </w:tcPr>
                <w:p w14:paraId="35CA07E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解决农村安全饮水，实现城乡供水一体化</w:t>
                  </w:r>
                </w:p>
              </w:tc>
            </w:tr>
          </w:tbl>
          <w:p w14:paraId="4CC3C93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b/>
                <w:bCs/>
                <w:color w:val="FF0000"/>
                <w:sz w:val="24"/>
                <w:szCs w:val="24"/>
                <w:lang w:val="en-US" w:eastAsia="zh-CN"/>
              </w:rPr>
            </w:pPr>
          </w:p>
          <w:p w14:paraId="7589F7AE">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eastAsia="宋体" w:cs="宋体"/>
                <w:b/>
                <w:bCs/>
                <w:color w:val="auto"/>
                <w:sz w:val="24"/>
                <w:szCs w:val="24"/>
                <w:lang w:eastAsia="zh-CN"/>
              </w:rPr>
            </w:pPr>
            <w:r>
              <w:rPr>
                <w:rFonts w:hint="eastAsia" w:ascii="宋体" w:hAnsi="宋体" w:eastAsia="宋体" w:cs="宋体"/>
                <w:b/>
                <w:bCs/>
                <w:color w:val="auto"/>
                <w:sz w:val="24"/>
                <w:szCs w:val="24"/>
                <w:lang w:val="en-US" w:eastAsia="zh-CN"/>
              </w:rPr>
              <w:t>2、</w:t>
            </w:r>
            <w:r>
              <w:rPr>
                <w:rFonts w:hint="eastAsia" w:ascii="宋体" w:hAnsi="宋体" w:eastAsia="宋体" w:cs="宋体"/>
                <w:b/>
                <w:bCs/>
                <w:color w:val="auto"/>
                <w:sz w:val="24"/>
                <w:szCs w:val="24"/>
                <w:lang w:eastAsia="zh-CN"/>
              </w:rPr>
              <w:t>项目组成及主要环境问题</w:t>
            </w:r>
          </w:p>
          <w:p w14:paraId="7147528B">
            <w:pPr>
              <w:pStyle w:val="19"/>
              <w:keepNext/>
              <w:keepLines w:val="0"/>
              <w:pageBreakBefore w:val="0"/>
              <w:widowControl w:val="0"/>
              <w:kinsoku/>
              <w:wordWrap/>
              <w:overflowPunct/>
              <w:topLinePunct w:val="0"/>
              <w:autoSpaceDE/>
              <w:autoSpaceDN/>
              <w:bidi w:val="0"/>
              <w:adjustRightInd/>
              <w:snapToGrid/>
              <w:spacing w:before="0"/>
              <w:textAlignment w:val="auto"/>
              <w:rPr>
                <w:rFonts w:hint="default"/>
                <w:b w:val="0"/>
                <w:bCs/>
                <w:lang w:val="en-US" w:eastAsia="zh-CN"/>
              </w:rPr>
            </w:pPr>
            <w:r>
              <w:rPr>
                <w:rFonts w:hint="eastAsia"/>
                <w:b w:val="0"/>
                <w:bCs/>
                <w:lang w:val="en-US" w:eastAsia="zh-CN"/>
              </w:rPr>
              <w:t>表2-5  项目组成一览表（防洪除涝）</w:t>
            </w:r>
          </w:p>
          <w:tbl>
            <w:tblPr>
              <w:tblStyle w:val="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42"/>
              <w:gridCol w:w="1316"/>
              <w:gridCol w:w="5635"/>
            </w:tblGrid>
            <w:tr w14:paraId="0D6D050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596" w:type="pct"/>
                  <w:vMerge w:val="restart"/>
                  <w:tcBorders>
                    <w:tl2br w:val="nil"/>
                    <w:tr2bl w:val="nil"/>
                  </w:tcBorders>
                  <w:noWrap/>
                  <w:vAlign w:val="center"/>
                </w:tcPr>
                <w:p w14:paraId="08919481">
                  <w:pPr>
                    <w:spacing w:line="300" w:lineRule="exact"/>
                    <w:ind w:firstLine="0" w:firstLineChars="0"/>
                    <w:jc w:val="center"/>
                    <w:rPr>
                      <w:color w:val="auto"/>
                      <w:sz w:val="21"/>
                      <w:szCs w:val="21"/>
                      <w:lang w:val="zh-CN"/>
                    </w:rPr>
                  </w:pPr>
                  <w:r>
                    <w:rPr>
                      <w:rFonts w:hint="eastAsia"/>
                      <w:color w:val="auto"/>
                      <w:sz w:val="21"/>
                      <w:szCs w:val="21"/>
                      <w:lang w:val="zh-CN"/>
                    </w:rPr>
                    <w:t>名称</w:t>
                  </w:r>
                </w:p>
              </w:tc>
              <w:tc>
                <w:tcPr>
                  <w:tcW w:w="4403" w:type="pct"/>
                  <w:gridSpan w:val="2"/>
                  <w:vMerge w:val="restart"/>
                  <w:tcBorders>
                    <w:tl2br w:val="nil"/>
                    <w:tr2bl w:val="nil"/>
                  </w:tcBorders>
                  <w:noWrap/>
                  <w:vAlign w:val="center"/>
                </w:tcPr>
                <w:p w14:paraId="3643A829">
                  <w:pPr>
                    <w:spacing w:line="300" w:lineRule="exact"/>
                    <w:ind w:firstLine="0" w:firstLineChars="0"/>
                    <w:jc w:val="center"/>
                    <w:rPr>
                      <w:color w:val="auto"/>
                      <w:sz w:val="21"/>
                      <w:szCs w:val="21"/>
                      <w:lang w:val="zh-CN"/>
                    </w:rPr>
                  </w:pPr>
                  <w:r>
                    <w:rPr>
                      <w:rFonts w:hint="eastAsia"/>
                      <w:color w:val="auto"/>
                      <w:sz w:val="21"/>
                      <w:szCs w:val="21"/>
                      <w:lang w:val="zh-CN"/>
                    </w:rPr>
                    <w:t>建设内容及规模</w:t>
                  </w:r>
                </w:p>
              </w:tc>
            </w:tr>
            <w:tr w14:paraId="379FD7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596" w:type="pct"/>
                  <w:vMerge w:val="continue"/>
                  <w:tcBorders>
                    <w:tl2br w:val="nil"/>
                    <w:tr2bl w:val="nil"/>
                  </w:tcBorders>
                  <w:noWrap/>
                  <w:vAlign w:val="center"/>
                </w:tcPr>
                <w:p w14:paraId="2DDC6CA2">
                  <w:pPr>
                    <w:spacing w:line="300" w:lineRule="exact"/>
                    <w:ind w:firstLine="0" w:firstLineChars="0"/>
                    <w:jc w:val="center"/>
                    <w:rPr>
                      <w:rFonts w:hint="eastAsia"/>
                      <w:color w:val="auto"/>
                      <w:sz w:val="21"/>
                      <w:szCs w:val="21"/>
                      <w:lang w:val="zh-CN"/>
                    </w:rPr>
                  </w:pPr>
                </w:p>
              </w:tc>
              <w:tc>
                <w:tcPr>
                  <w:tcW w:w="4403" w:type="pct"/>
                  <w:gridSpan w:val="2"/>
                  <w:vMerge w:val="continue"/>
                  <w:tcBorders>
                    <w:tl2br w:val="nil"/>
                    <w:tr2bl w:val="nil"/>
                  </w:tcBorders>
                  <w:noWrap/>
                  <w:vAlign w:val="center"/>
                </w:tcPr>
                <w:p w14:paraId="6578B4B4">
                  <w:pPr>
                    <w:spacing w:line="300" w:lineRule="exact"/>
                    <w:ind w:firstLine="0" w:firstLineChars="0"/>
                    <w:jc w:val="center"/>
                    <w:rPr>
                      <w:rFonts w:hint="eastAsia"/>
                      <w:color w:val="auto"/>
                      <w:sz w:val="21"/>
                      <w:szCs w:val="21"/>
                      <w:lang w:val="zh-CN"/>
                    </w:rPr>
                  </w:pPr>
                </w:p>
              </w:tc>
            </w:tr>
            <w:tr w14:paraId="70EAFE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96" w:type="pct"/>
                  <w:tcBorders>
                    <w:tl2br w:val="nil"/>
                    <w:tr2bl w:val="nil"/>
                  </w:tcBorders>
                  <w:noWrap/>
                  <w:vAlign w:val="center"/>
                </w:tcPr>
                <w:p w14:paraId="6DFFA94E">
                  <w:pPr>
                    <w:spacing w:line="300" w:lineRule="exact"/>
                    <w:ind w:firstLine="0" w:firstLineChars="0"/>
                    <w:jc w:val="center"/>
                    <w:rPr>
                      <w:rFonts w:hint="eastAsia" w:eastAsia="宋体"/>
                      <w:color w:val="auto"/>
                      <w:sz w:val="21"/>
                      <w:szCs w:val="21"/>
                      <w:lang w:val="en-US" w:eastAsia="zh-CN"/>
                    </w:rPr>
                  </w:pPr>
                  <w:r>
                    <w:rPr>
                      <w:rFonts w:hint="eastAsia"/>
                      <w:color w:val="auto"/>
                      <w:sz w:val="21"/>
                      <w:szCs w:val="21"/>
                      <w:lang w:val="zh-CN"/>
                    </w:rPr>
                    <w:t>主体工程</w:t>
                  </w:r>
                </w:p>
              </w:tc>
              <w:tc>
                <w:tcPr>
                  <w:tcW w:w="4403" w:type="pct"/>
                  <w:gridSpan w:val="2"/>
                  <w:tcBorders>
                    <w:tl2br w:val="nil"/>
                    <w:tr2bl w:val="nil"/>
                  </w:tcBorders>
                  <w:noWrap/>
                  <w:vAlign w:val="center"/>
                </w:tcPr>
                <w:p w14:paraId="0982BA3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auto"/>
                      <w:sz w:val="21"/>
                      <w:szCs w:val="21"/>
                      <w:lang w:val="zh-CN"/>
                    </w:rPr>
                  </w:pPr>
                  <w:r>
                    <w:rPr>
                      <w:rFonts w:hint="eastAsia"/>
                      <w:color w:val="auto"/>
                      <w:sz w:val="21"/>
                      <w:szCs w:val="21"/>
                      <w:lang w:val="zh-CN"/>
                    </w:rPr>
                    <w:t>① 雨水管道工程：新建DN2600雨水管道1686米。其中巴陵路（琵琶王立交-王家河）段1450米，采用顶管施工；新天地段220米，采用开挖埋管（旋挖桩支护）。</w:t>
                  </w:r>
                </w:p>
                <w:p w14:paraId="1D8D001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auto"/>
                      <w:sz w:val="21"/>
                      <w:szCs w:val="21"/>
                      <w:lang w:val="zh-CN"/>
                    </w:rPr>
                  </w:pPr>
                  <w:r>
                    <w:rPr>
                      <w:rFonts w:hint="eastAsia"/>
                      <w:color w:val="auto"/>
                      <w:sz w:val="21"/>
                      <w:szCs w:val="21"/>
                      <w:lang w:val="zh-CN"/>
                    </w:rPr>
                    <w:t>② 排水管沟工程：新建排水管沟1110米，包括陈家巷、夏万路、城陵矶路跨铁路箱涵等处的盖板沟修复及重建。</w:t>
                  </w:r>
                </w:p>
                <w:p w14:paraId="7E84E5C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auto"/>
                      <w:sz w:val="21"/>
                      <w:szCs w:val="21"/>
                      <w:lang w:val="zh-CN"/>
                    </w:rPr>
                  </w:pPr>
                  <w:r>
                    <w:rPr>
                      <w:rFonts w:hint="eastAsia"/>
                      <w:color w:val="auto"/>
                      <w:sz w:val="21"/>
                      <w:szCs w:val="21"/>
                      <w:lang w:val="zh-CN"/>
                    </w:rPr>
                    <w:t>③ 排水管沟清淤：清淤1350米，包括康复医院北侧排水涵、海棠社区林场组下游主管等。</w:t>
                  </w:r>
                </w:p>
                <w:p w14:paraId="0B4AC21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auto"/>
                      <w:sz w:val="21"/>
                      <w:szCs w:val="21"/>
                      <w:lang w:val="zh-CN"/>
                    </w:rPr>
                  </w:pPr>
                  <w:r>
                    <w:rPr>
                      <w:rFonts w:hint="eastAsia"/>
                      <w:color w:val="auto"/>
                      <w:sz w:val="21"/>
                      <w:szCs w:val="21"/>
                      <w:lang w:val="zh-CN"/>
                    </w:rPr>
                    <w:t>④ 分流井：设置固定堰分流井1座，位于巴陵路，堰顶标高33.5米，两侧堰宽总长13米。</w:t>
                  </w:r>
                </w:p>
                <w:p w14:paraId="5456A05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auto"/>
                      <w:sz w:val="21"/>
                      <w:szCs w:val="21"/>
                      <w:lang w:val="zh-CN"/>
                    </w:rPr>
                  </w:pPr>
                  <w:r>
                    <w:rPr>
                      <w:rFonts w:hint="eastAsia"/>
                      <w:color w:val="auto"/>
                      <w:sz w:val="21"/>
                      <w:szCs w:val="21"/>
                      <w:lang w:val="zh-CN"/>
                    </w:rPr>
                    <w:t>⑤ 检查井及附属设施：新建现浇钢筋混凝土检查井（含顶管工作井、接收井、普通检查井）约41座；雨水口若干；井盖设防坠网、防盗、防沉降等构造。</w:t>
                  </w:r>
                </w:p>
                <w:p w14:paraId="4D11C64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auto"/>
                      <w:sz w:val="21"/>
                      <w:szCs w:val="21"/>
                      <w:lang w:val="zh-CN"/>
                    </w:rPr>
                  </w:pPr>
                  <w:r>
                    <w:rPr>
                      <w:rFonts w:hint="eastAsia"/>
                      <w:color w:val="auto"/>
                      <w:sz w:val="21"/>
                      <w:szCs w:val="21"/>
                      <w:lang w:val="zh-CN"/>
                    </w:rPr>
                    <w:t>⑥ 内涝点治理：改造万家垅、康复医院北侧、夏万路、海棠社区林场组、南站巷西侧、七里山社区、城陵矶路跨铁路箱涵等10处积涝点，措施包括管道清淤、沟渠修复、设置盖板沟等。</w:t>
                  </w:r>
                </w:p>
              </w:tc>
            </w:tr>
            <w:tr w14:paraId="1B9E2DC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96" w:type="pct"/>
                  <w:vMerge w:val="restart"/>
                  <w:tcBorders>
                    <w:tl2br w:val="nil"/>
                    <w:tr2bl w:val="nil"/>
                  </w:tcBorders>
                  <w:noWrap/>
                  <w:vAlign w:val="center"/>
                </w:tcPr>
                <w:p w14:paraId="6720F175">
                  <w:pPr>
                    <w:spacing w:line="300" w:lineRule="exact"/>
                    <w:ind w:firstLine="0" w:firstLineChars="0"/>
                    <w:jc w:val="center"/>
                    <w:rPr>
                      <w:rFonts w:hint="eastAsia"/>
                      <w:color w:val="auto"/>
                      <w:sz w:val="21"/>
                      <w:szCs w:val="21"/>
                      <w:lang w:val="zh-CN"/>
                    </w:rPr>
                  </w:pPr>
                  <w:r>
                    <w:rPr>
                      <w:rFonts w:hint="eastAsia"/>
                      <w:color w:val="auto"/>
                      <w:sz w:val="21"/>
                      <w:szCs w:val="21"/>
                      <w:lang w:val="zh-CN"/>
                    </w:rPr>
                    <w:t>临时工程</w:t>
                  </w:r>
                </w:p>
              </w:tc>
              <w:tc>
                <w:tcPr>
                  <w:tcW w:w="833" w:type="pct"/>
                  <w:tcBorders>
                    <w:tl2br w:val="nil"/>
                    <w:tr2bl w:val="nil"/>
                  </w:tcBorders>
                  <w:noWrap/>
                  <w:vAlign w:val="center"/>
                </w:tcPr>
                <w:p w14:paraId="3589757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color w:val="auto"/>
                      <w:sz w:val="21"/>
                      <w:szCs w:val="21"/>
                      <w:lang w:eastAsia="zh-CN"/>
                    </w:rPr>
                  </w:pPr>
                  <w:r>
                    <w:rPr>
                      <w:rFonts w:hint="eastAsia" w:ascii="宋体" w:hAnsi="宋体" w:cs="宋体"/>
                      <w:color w:val="auto"/>
                      <w:sz w:val="21"/>
                      <w:szCs w:val="21"/>
                      <w:lang w:eastAsia="zh-CN"/>
                    </w:rPr>
                    <w:t>料场</w:t>
                  </w:r>
                </w:p>
              </w:tc>
              <w:tc>
                <w:tcPr>
                  <w:tcW w:w="3569" w:type="pct"/>
                  <w:tcBorders>
                    <w:tl2br w:val="nil"/>
                    <w:tr2bl w:val="nil"/>
                  </w:tcBorders>
                  <w:noWrap/>
                  <w:vAlign w:val="center"/>
                </w:tcPr>
                <w:p w14:paraId="1FCFA36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eastAsia="宋体" w:cs="宋体"/>
                      <w:color w:val="auto"/>
                      <w:sz w:val="21"/>
                      <w:szCs w:val="21"/>
                      <w:lang w:eastAsia="zh-CN"/>
                    </w:rPr>
                  </w:pPr>
                  <w:r>
                    <w:rPr>
                      <w:rFonts w:hint="eastAsia" w:ascii="宋体" w:hAnsi="宋体" w:cs="宋体"/>
                      <w:color w:val="auto"/>
                      <w:sz w:val="21"/>
                      <w:szCs w:val="21"/>
                      <w:lang w:eastAsia="zh-CN"/>
                    </w:rPr>
                    <w:t>全部外购，不设置料场</w:t>
                  </w:r>
                </w:p>
              </w:tc>
            </w:tr>
            <w:tr w14:paraId="3C1DA8E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96" w:type="pct"/>
                  <w:vMerge w:val="continue"/>
                  <w:tcBorders>
                    <w:tl2br w:val="nil"/>
                    <w:tr2bl w:val="nil"/>
                  </w:tcBorders>
                  <w:noWrap/>
                  <w:vAlign w:val="center"/>
                </w:tcPr>
                <w:p w14:paraId="180375EF">
                  <w:pPr>
                    <w:spacing w:line="300" w:lineRule="exact"/>
                    <w:ind w:firstLine="0" w:firstLineChars="0"/>
                    <w:jc w:val="center"/>
                    <w:rPr>
                      <w:rFonts w:hint="eastAsia"/>
                      <w:color w:val="auto"/>
                      <w:sz w:val="21"/>
                      <w:szCs w:val="21"/>
                      <w:lang w:val="zh-CN"/>
                    </w:rPr>
                  </w:pPr>
                </w:p>
              </w:tc>
              <w:tc>
                <w:tcPr>
                  <w:tcW w:w="833" w:type="pct"/>
                  <w:tcBorders>
                    <w:tl2br w:val="nil"/>
                    <w:tr2bl w:val="nil"/>
                  </w:tcBorders>
                  <w:noWrap/>
                  <w:vAlign w:val="center"/>
                </w:tcPr>
                <w:p w14:paraId="0B60C3B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弃渣场</w:t>
                  </w:r>
                </w:p>
              </w:tc>
              <w:tc>
                <w:tcPr>
                  <w:tcW w:w="3569" w:type="pct"/>
                  <w:tcBorders>
                    <w:tl2br w:val="nil"/>
                    <w:tr2bl w:val="nil"/>
                  </w:tcBorders>
                  <w:noWrap/>
                  <w:vAlign w:val="center"/>
                </w:tcPr>
                <w:p w14:paraId="423D70B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default" w:ascii="宋体" w:hAnsi="宋体" w:cs="宋体"/>
                      <w:color w:val="auto"/>
                      <w:sz w:val="21"/>
                      <w:szCs w:val="21"/>
                      <w:lang w:val="en-US" w:eastAsia="zh-CN"/>
                    </w:rPr>
                  </w:pPr>
                  <w:r>
                    <w:rPr>
                      <w:rFonts w:hint="eastAsia" w:ascii="宋体" w:hAnsi="宋体" w:cs="宋体"/>
                      <w:color w:val="auto"/>
                      <w:sz w:val="21"/>
                      <w:szCs w:val="21"/>
                      <w:lang w:eastAsia="zh-CN"/>
                    </w:rPr>
                    <w:t>不设</w:t>
                  </w:r>
                  <w:r>
                    <w:rPr>
                      <w:rFonts w:hint="eastAsia" w:ascii="宋体" w:hAnsi="宋体" w:cs="宋体"/>
                      <w:color w:val="auto"/>
                      <w:sz w:val="21"/>
                      <w:szCs w:val="21"/>
                      <w:lang w:val="en-US" w:eastAsia="zh-CN"/>
                    </w:rPr>
                    <w:t>弃渣场，弃渣交岳阳市政部门统一处理。</w:t>
                  </w:r>
                </w:p>
              </w:tc>
            </w:tr>
            <w:tr w14:paraId="68F6A3F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96" w:type="pct"/>
                  <w:vMerge w:val="continue"/>
                  <w:tcBorders>
                    <w:tl2br w:val="nil"/>
                    <w:tr2bl w:val="nil"/>
                  </w:tcBorders>
                  <w:noWrap/>
                  <w:vAlign w:val="center"/>
                </w:tcPr>
                <w:p w14:paraId="7EBD7CDD">
                  <w:pPr>
                    <w:spacing w:line="300" w:lineRule="exact"/>
                    <w:ind w:firstLine="0" w:firstLineChars="0"/>
                    <w:jc w:val="center"/>
                    <w:rPr>
                      <w:rFonts w:hint="eastAsia"/>
                      <w:color w:val="auto"/>
                      <w:sz w:val="21"/>
                      <w:szCs w:val="21"/>
                      <w:lang w:val="zh-CN"/>
                    </w:rPr>
                  </w:pPr>
                </w:p>
              </w:tc>
              <w:tc>
                <w:tcPr>
                  <w:tcW w:w="833" w:type="pct"/>
                  <w:tcBorders>
                    <w:tl2br w:val="nil"/>
                    <w:tr2bl w:val="nil"/>
                  </w:tcBorders>
                  <w:noWrap/>
                  <w:vAlign w:val="center"/>
                </w:tcPr>
                <w:p w14:paraId="7BF4A14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混凝土拌合</w:t>
                  </w:r>
                </w:p>
              </w:tc>
              <w:tc>
                <w:tcPr>
                  <w:tcW w:w="3569" w:type="pct"/>
                  <w:tcBorders>
                    <w:tl2br w:val="nil"/>
                    <w:tr2bl w:val="nil"/>
                  </w:tcBorders>
                  <w:noWrap/>
                  <w:vAlign w:val="center"/>
                </w:tcPr>
                <w:p w14:paraId="2CFA098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default" w:ascii="宋体" w:hAnsi="宋体" w:cs="宋体"/>
                      <w:color w:val="auto"/>
                      <w:sz w:val="21"/>
                      <w:szCs w:val="21"/>
                      <w:lang w:val="en-US" w:eastAsia="zh-CN"/>
                    </w:rPr>
                  </w:pPr>
                  <w:r>
                    <w:rPr>
                      <w:rFonts w:hint="eastAsia" w:ascii="宋体" w:hAnsi="宋体" w:cs="宋体"/>
                      <w:color w:val="auto"/>
                      <w:sz w:val="21"/>
                      <w:szCs w:val="21"/>
                      <w:lang w:eastAsia="zh-CN"/>
                    </w:rPr>
                    <w:t>全部用商品混凝土，现场不设拌合站</w:t>
                  </w:r>
                </w:p>
              </w:tc>
            </w:tr>
            <w:tr w14:paraId="162CC3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96" w:type="pct"/>
                  <w:vMerge w:val="continue"/>
                  <w:tcBorders>
                    <w:tl2br w:val="nil"/>
                    <w:tr2bl w:val="nil"/>
                  </w:tcBorders>
                  <w:noWrap/>
                  <w:vAlign w:val="center"/>
                </w:tcPr>
                <w:p w14:paraId="6901254A">
                  <w:pPr>
                    <w:spacing w:line="300" w:lineRule="exact"/>
                    <w:ind w:firstLine="0" w:firstLineChars="0"/>
                    <w:jc w:val="center"/>
                    <w:rPr>
                      <w:rFonts w:hint="eastAsia"/>
                      <w:color w:val="auto"/>
                      <w:sz w:val="21"/>
                      <w:szCs w:val="21"/>
                      <w:lang w:val="zh-CN"/>
                    </w:rPr>
                  </w:pPr>
                </w:p>
              </w:tc>
              <w:tc>
                <w:tcPr>
                  <w:tcW w:w="833" w:type="pct"/>
                  <w:tcBorders>
                    <w:tl2br w:val="nil"/>
                    <w:tr2bl w:val="nil"/>
                  </w:tcBorders>
                  <w:noWrap/>
                  <w:vAlign w:val="center"/>
                </w:tcPr>
                <w:p w14:paraId="414B9CD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临时堆土场</w:t>
                  </w:r>
                </w:p>
              </w:tc>
              <w:tc>
                <w:tcPr>
                  <w:tcW w:w="3569" w:type="pct"/>
                  <w:tcBorders>
                    <w:tl2br w:val="nil"/>
                    <w:tr2bl w:val="nil"/>
                  </w:tcBorders>
                  <w:noWrap/>
                  <w:vAlign w:val="center"/>
                </w:tcPr>
                <w:p w14:paraId="01EC214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沿管线施工作业带设置临时堆土场，后期恢复。</w:t>
                  </w:r>
                </w:p>
              </w:tc>
            </w:tr>
            <w:tr w14:paraId="3A60D04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96" w:type="pct"/>
                  <w:vMerge w:val="continue"/>
                  <w:tcBorders>
                    <w:tl2br w:val="nil"/>
                    <w:tr2bl w:val="nil"/>
                  </w:tcBorders>
                  <w:noWrap/>
                  <w:vAlign w:val="center"/>
                </w:tcPr>
                <w:p w14:paraId="579DFC98">
                  <w:pPr>
                    <w:spacing w:line="300" w:lineRule="exact"/>
                    <w:ind w:firstLine="0" w:firstLineChars="0"/>
                    <w:jc w:val="center"/>
                    <w:rPr>
                      <w:rFonts w:hint="eastAsia"/>
                      <w:color w:val="auto"/>
                      <w:sz w:val="21"/>
                      <w:szCs w:val="21"/>
                      <w:lang w:val="zh-CN"/>
                    </w:rPr>
                  </w:pPr>
                </w:p>
              </w:tc>
              <w:tc>
                <w:tcPr>
                  <w:tcW w:w="833" w:type="pct"/>
                  <w:tcBorders>
                    <w:tl2br w:val="nil"/>
                    <w:tr2bl w:val="nil"/>
                  </w:tcBorders>
                  <w:noWrap/>
                  <w:vAlign w:val="center"/>
                </w:tcPr>
                <w:p w14:paraId="090E839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施工营地</w:t>
                  </w:r>
                </w:p>
              </w:tc>
              <w:tc>
                <w:tcPr>
                  <w:tcW w:w="3569" w:type="pct"/>
                  <w:tcBorders>
                    <w:tl2br w:val="nil"/>
                    <w:tr2bl w:val="nil"/>
                  </w:tcBorders>
                  <w:noWrap/>
                  <w:vAlign w:val="center"/>
                </w:tcPr>
                <w:p w14:paraId="5FA0E47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default" w:ascii="宋体" w:hAnsi="宋体" w:cs="宋体"/>
                      <w:color w:val="auto"/>
                      <w:sz w:val="21"/>
                      <w:szCs w:val="21"/>
                      <w:lang w:val="en-US" w:eastAsia="zh-CN"/>
                    </w:rPr>
                  </w:pPr>
                  <w:r>
                    <w:rPr>
                      <w:rFonts w:hint="eastAsia" w:ascii="宋体" w:hAnsi="宋体" w:cs="宋体"/>
                      <w:color w:val="auto"/>
                      <w:sz w:val="21"/>
                      <w:szCs w:val="21"/>
                      <w:lang w:eastAsia="zh-CN"/>
                    </w:rPr>
                    <w:t>设置1～2处施工营地，利用沿线闲置民房或租赁场地，用于材料存放及加工，员工就近招聘，不集中提供食宿。</w:t>
                  </w:r>
                </w:p>
              </w:tc>
            </w:tr>
            <w:tr w14:paraId="44F3BF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96" w:type="pct"/>
                  <w:vMerge w:val="restart"/>
                  <w:tcBorders>
                    <w:tl2br w:val="nil"/>
                    <w:tr2bl w:val="nil"/>
                  </w:tcBorders>
                  <w:noWrap/>
                  <w:vAlign w:val="center"/>
                </w:tcPr>
                <w:p w14:paraId="6CC7D872">
                  <w:pPr>
                    <w:spacing w:line="300" w:lineRule="exact"/>
                    <w:ind w:firstLine="0" w:firstLineChars="0"/>
                    <w:jc w:val="center"/>
                    <w:rPr>
                      <w:rFonts w:hint="eastAsia"/>
                      <w:color w:val="auto"/>
                      <w:sz w:val="21"/>
                      <w:szCs w:val="21"/>
                      <w:lang w:val="zh-CN"/>
                    </w:rPr>
                  </w:pPr>
                  <w:r>
                    <w:rPr>
                      <w:rFonts w:hint="eastAsia"/>
                      <w:color w:val="auto"/>
                      <w:sz w:val="21"/>
                      <w:szCs w:val="21"/>
                      <w:lang w:val="zh-CN"/>
                    </w:rPr>
                    <w:t>公用工程</w:t>
                  </w:r>
                </w:p>
              </w:tc>
              <w:tc>
                <w:tcPr>
                  <w:tcW w:w="833" w:type="pct"/>
                  <w:tcBorders>
                    <w:tl2br w:val="nil"/>
                    <w:tr2bl w:val="nil"/>
                  </w:tcBorders>
                  <w:noWrap/>
                  <w:vAlign w:val="center"/>
                </w:tcPr>
                <w:p w14:paraId="4589D48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供水</w:t>
                  </w:r>
                </w:p>
              </w:tc>
              <w:tc>
                <w:tcPr>
                  <w:tcW w:w="3569" w:type="pct"/>
                  <w:tcBorders>
                    <w:tl2br w:val="nil"/>
                    <w:tr2bl w:val="nil"/>
                  </w:tcBorders>
                  <w:noWrap/>
                  <w:vAlign w:val="center"/>
                </w:tcPr>
                <w:p w14:paraId="704A92E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施工生产用水就近接市政给水管网或利用周边河塘抽水。</w:t>
                  </w:r>
                </w:p>
              </w:tc>
            </w:tr>
            <w:tr w14:paraId="19D2035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96" w:type="pct"/>
                  <w:vMerge w:val="continue"/>
                  <w:tcBorders>
                    <w:tl2br w:val="nil"/>
                    <w:tr2bl w:val="nil"/>
                  </w:tcBorders>
                  <w:noWrap/>
                  <w:vAlign w:val="center"/>
                </w:tcPr>
                <w:p w14:paraId="3BA4E832">
                  <w:pPr>
                    <w:spacing w:line="300" w:lineRule="exact"/>
                    <w:ind w:firstLine="0" w:firstLineChars="0"/>
                    <w:jc w:val="center"/>
                    <w:rPr>
                      <w:rFonts w:hint="eastAsia"/>
                      <w:color w:val="auto"/>
                      <w:sz w:val="21"/>
                      <w:szCs w:val="21"/>
                      <w:lang w:val="zh-CN"/>
                    </w:rPr>
                  </w:pPr>
                </w:p>
              </w:tc>
              <w:tc>
                <w:tcPr>
                  <w:tcW w:w="833" w:type="pct"/>
                  <w:tcBorders>
                    <w:tl2br w:val="nil"/>
                    <w:tr2bl w:val="nil"/>
                  </w:tcBorders>
                  <w:noWrap/>
                  <w:vAlign w:val="center"/>
                </w:tcPr>
                <w:p w14:paraId="7A8719A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供电</w:t>
                  </w:r>
                </w:p>
              </w:tc>
              <w:tc>
                <w:tcPr>
                  <w:tcW w:w="3569" w:type="pct"/>
                  <w:tcBorders>
                    <w:tl2br w:val="nil"/>
                    <w:tr2bl w:val="nil"/>
                  </w:tcBorders>
                  <w:noWrap/>
                  <w:vAlign w:val="center"/>
                </w:tcPr>
                <w:p w14:paraId="6B8CD3F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施工用电由当地市政电网接入，顶管等大型设备另备发电机。</w:t>
                  </w:r>
                </w:p>
              </w:tc>
            </w:tr>
            <w:tr w14:paraId="18D0A15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96" w:type="pct"/>
                  <w:tcBorders>
                    <w:tl2br w:val="nil"/>
                    <w:tr2bl w:val="nil"/>
                  </w:tcBorders>
                  <w:noWrap/>
                  <w:vAlign w:val="center"/>
                </w:tcPr>
                <w:p w14:paraId="44456D06">
                  <w:pPr>
                    <w:spacing w:line="300" w:lineRule="exact"/>
                    <w:ind w:firstLine="0" w:firstLineChars="0"/>
                    <w:jc w:val="center"/>
                    <w:rPr>
                      <w:rFonts w:hint="default" w:eastAsia="宋体"/>
                      <w:color w:val="auto"/>
                      <w:sz w:val="21"/>
                      <w:szCs w:val="21"/>
                      <w:lang w:val="en-US" w:eastAsia="zh-CN"/>
                    </w:rPr>
                  </w:pPr>
                  <w:r>
                    <w:rPr>
                      <w:rFonts w:hint="eastAsia"/>
                      <w:color w:val="auto"/>
                      <w:sz w:val="21"/>
                      <w:szCs w:val="21"/>
                      <w:lang w:val="en-US" w:eastAsia="zh-CN"/>
                    </w:rPr>
                    <w:t>依托工程</w:t>
                  </w:r>
                </w:p>
              </w:tc>
              <w:tc>
                <w:tcPr>
                  <w:tcW w:w="4403" w:type="pct"/>
                  <w:gridSpan w:val="2"/>
                  <w:tcBorders>
                    <w:tl2br w:val="nil"/>
                    <w:tr2bl w:val="nil"/>
                  </w:tcBorders>
                  <w:noWrap/>
                  <w:vAlign w:val="center"/>
                </w:tcPr>
                <w:p w14:paraId="211F264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依托岳阳</w:t>
                  </w:r>
                  <w:r>
                    <w:rPr>
                      <w:rFonts w:hint="eastAsia" w:ascii="宋体" w:hAnsi="宋体" w:cs="宋体"/>
                      <w:color w:val="auto"/>
                      <w:sz w:val="21"/>
                      <w:szCs w:val="21"/>
                      <w:lang w:val="en-US" w:eastAsia="zh-CN"/>
                    </w:rPr>
                    <w:t>楼区</w:t>
                  </w:r>
                  <w:r>
                    <w:rPr>
                      <w:rFonts w:hint="eastAsia" w:ascii="宋体" w:hAnsi="宋体" w:cs="宋体"/>
                      <w:color w:val="auto"/>
                      <w:sz w:val="21"/>
                      <w:szCs w:val="21"/>
                      <w:lang w:eastAsia="zh-CN"/>
                    </w:rPr>
                    <w:t>现有市政雨水管网、市政给水管网、城市道路、施工交通条件及周边环卫、市政等公共基础设施。</w:t>
                  </w:r>
                </w:p>
              </w:tc>
            </w:tr>
            <w:tr w14:paraId="3092DA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96" w:type="pct"/>
                  <w:tcBorders>
                    <w:tl2br w:val="nil"/>
                    <w:tr2bl w:val="nil"/>
                  </w:tcBorders>
                  <w:noWrap/>
                  <w:vAlign w:val="center"/>
                </w:tcPr>
                <w:p w14:paraId="24C2A00F">
                  <w:pPr>
                    <w:spacing w:line="300" w:lineRule="exact"/>
                    <w:ind w:firstLine="0" w:firstLineChars="0"/>
                    <w:jc w:val="center"/>
                    <w:rPr>
                      <w:rFonts w:hint="eastAsia"/>
                      <w:color w:val="auto"/>
                      <w:sz w:val="21"/>
                      <w:szCs w:val="21"/>
                      <w:lang w:val="zh-CN"/>
                    </w:rPr>
                  </w:pPr>
                  <w:r>
                    <w:rPr>
                      <w:rFonts w:hint="eastAsia"/>
                      <w:color w:val="auto"/>
                      <w:sz w:val="21"/>
                      <w:szCs w:val="21"/>
                      <w:lang w:val="zh-CN"/>
                    </w:rPr>
                    <w:t>征地移民</w:t>
                  </w:r>
                </w:p>
              </w:tc>
              <w:tc>
                <w:tcPr>
                  <w:tcW w:w="4403" w:type="pct"/>
                  <w:gridSpan w:val="2"/>
                  <w:tcBorders>
                    <w:tl2br w:val="nil"/>
                    <w:tr2bl w:val="nil"/>
                  </w:tcBorders>
                  <w:noWrap/>
                  <w:vAlign w:val="center"/>
                </w:tcPr>
                <w:p w14:paraId="020AB72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default" w:ascii="宋体" w:hAnsi="宋体" w:cs="宋体"/>
                      <w:color w:val="auto"/>
                      <w:sz w:val="21"/>
                      <w:szCs w:val="21"/>
                      <w:lang w:val="en-US" w:eastAsia="zh-CN"/>
                    </w:rPr>
                  </w:pPr>
                  <w:r>
                    <w:rPr>
                      <w:rFonts w:hint="eastAsia" w:ascii="宋体" w:hAnsi="宋体" w:cs="宋体"/>
                      <w:color w:val="auto"/>
                      <w:sz w:val="21"/>
                      <w:szCs w:val="21"/>
                      <w:lang w:eastAsia="zh-CN"/>
                    </w:rPr>
                    <w:t>项目总占地面积</w:t>
                  </w:r>
                  <w:r>
                    <w:rPr>
                      <w:rFonts w:hint="eastAsia" w:ascii="宋体" w:hAnsi="宋体" w:cs="宋体"/>
                      <w:color w:val="auto"/>
                      <w:sz w:val="21"/>
                      <w:szCs w:val="21"/>
                      <w:lang w:val="en-US" w:eastAsia="zh-CN"/>
                    </w:rPr>
                    <w:t>30亩，全部是临时占地，无新增永久占地，不涉及移民拆迁。临时占地主要为管槽开挖、顶管工作井/接收井、施工便道及临时堆土场等。</w:t>
                  </w:r>
                </w:p>
              </w:tc>
            </w:tr>
            <w:tr w14:paraId="343AF9B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96" w:type="pct"/>
                  <w:vMerge w:val="restart"/>
                  <w:tcBorders>
                    <w:tl2br w:val="nil"/>
                    <w:tr2bl w:val="nil"/>
                  </w:tcBorders>
                  <w:noWrap/>
                  <w:vAlign w:val="center"/>
                </w:tcPr>
                <w:p w14:paraId="35C7627F">
                  <w:pPr>
                    <w:spacing w:line="300" w:lineRule="exact"/>
                    <w:ind w:firstLine="0" w:firstLineChars="0"/>
                    <w:jc w:val="center"/>
                    <w:rPr>
                      <w:rFonts w:hint="default" w:eastAsia="宋体"/>
                      <w:color w:val="auto"/>
                      <w:sz w:val="21"/>
                      <w:szCs w:val="21"/>
                      <w:lang w:val="en-US" w:eastAsia="zh-CN"/>
                    </w:rPr>
                  </w:pPr>
                  <w:r>
                    <w:rPr>
                      <w:rFonts w:hint="eastAsia"/>
                      <w:color w:val="auto"/>
                      <w:sz w:val="21"/>
                      <w:szCs w:val="21"/>
                      <w:lang w:val="en-US" w:eastAsia="zh-CN"/>
                    </w:rPr>
                    <w:t>环保工程</w:t>
                  </w:r>
                </w:p>
              </w:tc>
              <w:tc>
                <w:tcPr>
                  <w:tcW w:w="833" w:type="pct"/>
                  <w:tcBorders>
                    <w:tl2br w:val="nil"/>
                    <w:tr2bl w:val="nil"/>
                  </w:tcBorders>
                  <w:noWrap/>
                  <w:vAlign w:val="center"/>
                </w:tcPr>
                <w:p w14:paraId="1103ABD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生态保护措施</w:t>
                  </w:r>
                </w:p>
              </w:tc>
              <w:tc>
                <w:tcPr>
                  <w:tcW w:w="3569" w:type="pct"/>
                  <w:tcBorders>
                    <w:tl2br w:val="nil"/>
                    <w:tr2bl w:val="nil"/>
                  </w:tcBorders>
                  <w:noWrap/>
                  <w:vAlign w:val="center"/>
                </w:tcPr>
                <w:p w14:paraId="7B594D0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对施工人员加强环保教育，施工结束后对临时占地进行土地整治、复垦或绿化；采取水土保持措施（截排水沟、挡土墙、临时苫盖）。</w:t>
                  </w:r>
                </w:p>
              </w:tc>
            </w:tr>
            <w:tr w14:paraId="396C229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96" w:type="pct"/>
                  <w:vMerge w:val="continue"/>
                  <w:tcBorders>
                    <w:tl2br w:val="nil"/>
                    <w:tr2bl w:val="nil"/>
                  </w:tcBorders>
                  <w:noWrap/>
                  <w:vAlign w:val="center"/>
                </w:tcPr>
                <w:p w14:paraId="7513B601">
                  <w:pPr>
                    <w:spacing w:line="300" w:lineRule="exact"/>
                    <w:ind w:firstLine="0" w:firstLineChars="0"/>
                    <w:jc w:val="center"/>
                    <w:rPr>
                      <w:rFonts w:hint="eastAsia"/>
                      <w:color w:val="auto"/>
                      <w:sz w:val="21"/>
                      <w:szCs w:val="21"/>
                      <w:lang w:val="zh-CN"/>
                    </w:rPr>
                  </w:pPr>
                </w:p>
              </w:tc>
              <w:tc>
                <w:tcPr>
                  <w:tcW w:w="833" w:type="pct"/>
                  <w:tcBorders>
                    <w:tl2br w:val="nil"/>
                    <w:tr2bl w:val="nil"/>
                  </w:tcBorders>
                  <w:noWrap/>
                  <w:vAlign w:val="center"/>
                </w:tcPr>
                <w:p w14:paraId="5688D2D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废气</w:t>
                  </w:r>
                </w:p>
              </w:tc>
              <w:tc>
                <w:tcPr>
                  <w:tcW w:w="3569" w:type="pct"/>
                  <w:tcBorders>
                    <w:tl2br w:val="nil"/>
                    <w:tr2bl w:val="nil"/>
                  </w:tcBorders>
                  <w:noWrap/>
                  <w:vAlign w:val="center"/>
                </w:tcPr>
                <w:p w14:paraId="3799EBD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施工道路洒水降尘；土方、材料采用防尘网遮盖；施工出入口设车辆冲洗平台；建筑垃圾及时清运。</w:t>
                  </w:r>
                </w:p>
              </w:tc>
            </w:tr>
            <w:tr w14:paraId="734C69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96" w:type="pct"/>
                  <w:vMerge w:val="continue"/>
                  <w:tcBorders>
                    <w:tl2br w:val="nil"/>
                    <w:tr2bl w:val="nil"/>
                  </w:tcBorders>
                  <w:noWrap/>
                  <w:vAlign w:val="center"/>
                </w:tcPr>
                <w:p w14:paraId="165F08C0">
                  <w:pPr>
                    <w:spacing w:line="300" w:lineRule="exact"/>
                    <w:ind w:firstLine="0" w:firstLineChars="0"/>
                    <w:jc w:val="center"/>
                    <w:rPr>
                      <w:rFonts w:hint="eastAsia"/>
                      <w:color w:val="auto"/>
                      <w:sz w:val="21"/>
                      <w:szCs w:val="21"/>
                      <w:lang w:val="zh-CN"/>
                    </w:rPr>
                  </w:pPr>
                </w:p>
              </w:tc>
              <w:tc>
                <w:tcPr>
                  <w:tcW w:w="833" w:type="pct"/>
                  <w:tcBorders>
                    <w:tl2br w:val="nil"/>
                    <w:tr2bl w:val="nil"/>
                  </w:tcBorders>
                  <w:noWrap/>
                  <w:vAlign w:val="center"/>
                </w:tcPr>
                <w:p w14:paraId="64E5731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废水</w:t>
                  </w:r>
                </w:p>
              </w:tc>
              <w:tc>
                <w:tcPr>
                  <w:tcW w:w="3569" w:type="pct"/>
                  <w:tcBorders>
                    <w:tl2br w:val="nil"/>
                    <w:tr2bl w:val="nil"/>
                  </w:tcBorders>
                  <w:noWrap/>
                  <w:vAlign w:val="center"/>
                </w:tcPr>
                <w:p w14:paraId="17614B4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车辆冲洗水经沉淀后回用；基坑降水经沉淀后排入市政雨水管；生活污水依托附近民房现有化粪池处理。</w:t>
                  </w:r>
                </w:p>
              </w:tc>
            </w:tr>
            <w:tr w14:paraId="133FDE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96" w:type="pct"/>
                  <w:vMerge w:val="continue"/>
                  <w:tcBorders>
                    <w:tl2br w:val="nil"/>
                    <w:tr2bl w:val="nil"/>
                  </w:tcBorders>
                  <w:noWrap/>
                  <w:vAlign w:val="center"/>
                </w:tcPr>
                <w:p w14:paraId="7FB34C8C">
                  <w:pPr>
                    <w:spacing w:line="300" w:lineRule="exact"/>
                    <w:ind w:firstLine="0" w:firstLineChars="0"/>
                    <w:jc w:val="center"/>
                    <w:rPr>
                      <w:rFonts w:hint="eastAsia"/>
                      <w:color w:val="auto"/>
                      <w:sz w:val="21"/>
                      <w:szCs w:val="21"/>
                      <w:lang w:val="zh-CN"/>
                    </w:rPr>
                  </w:pPr>
                </w:p>
              </w:tc>
              <w:tc>
                <w:tcPr>
                  <w:tcW w:w="833" w:type="pct"/>
                  <w:tcBorders>
                    <w:tl2br w:val="nil"/>
                    <w:tr2bl w:val="nil"/>
                  </w:tcBorders>
                  <w:noWrap/>
                  <w:vAlign w:val="center"/>
                </w:tcPr>
                <w:p w14:paraId="7E3F4DC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噪声</w:t>
                  </w:r>
                </w:p>
              </w:tc>
              <w:tc>
                <w:tcPr>
                  <w:tcW w:w="3569" w:type="pct"/>
                  <w:tcBorders>
                    <w:tl2br w:val="nil"/>
                    <w:tr2bl w:val="nil"/>
                  </w:tcBorders>
                  <w:noWrap/>
                  <w:vAlign w:val="center"/>
                </w:tcPr>
                <w:p w14:paraId="51E467E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选用低噪声机械；合理安排施工时间（夜间不进行高噪声作业）；顶管施工减少地面振动；临近居民区设置临时声屏障。</w:t>
                  </w:r>
                </w:p>
              </w:tc>
            </w:tr>
            <w:tr w14:paraId="1AFE622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96" w:type="pct"/>
                  <w:vMerge w:val="continue"/>
                  <w:tcBorders>
                    <w:tl2br w:val="nil"/>
                    <w:tr2bl w:val="nil"/>
                  </w:tcBorders>
                  <w:noWrap/>
                  <w:vAlign w:val="center"/>
                </w:tcPr>
                <w:p w14:paraId="0EA2B9A8">
                  <w:pPr>
                    <w:spacing w:line="300" w:lineRule="exact"/>
                    <w:ind w:firstLine="0" w:firstLineChars="0"/>
                    <w:jc w:val="center"/>
                    <w:rPr>
                      <w:rFonts w:hint="eastAsia"/>
                      <w:color w:val="auto"/>
                      <w:sz w:val="21"/>
                      <w:szCs w:val="21"/>
                      <w:lang w:val="zh-CN"/>
                    </w:rPr>
                  </w:pPr>
                </w:p>
              </w:tc>
              <w:tc>
                <w:tcPr>
                  <w:tcW w:w="833" w:type="pct"/>
                  <w:tcBorders>
                    <w:tl2br w:val="nil"/>
                    <w:tr2bl w:val="nil"/>
                  </w:tcBorders>
                  <w:noWrap/>
                  <w:vAlign w:val="center"/>
                </w:tcPr>
                <w:p w14:paraId="0B55CBB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固废</w:t>
                  </w:r>
                </w:p>
              </w:tc>
              <w:tc>
                <w:tcPr>
                  <w:tcW w:w="3569" w:type="pct"/>
                  <w:tcBorders>
                    <w:tl2br w:val="nil"/>
                    <w:tr2bl w:val="nil"/>
                  </w:tcBorders>
                  <w:noWrap/>
                  <w:vAlign w:val="center"/>
                </w:tcPr>
                <w:p w14:paraId="7743D38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default" w:ascii="宋体" w:hAnsi="宋体" w:cs="宋体"/>
                      <w:color w:val="auto"/>
                      <w:sz w:val="21"/>
                      <w:szCs w:val="21"/>
                      <w:lang w:val="en-US" w:eastAsia="zh-CN"/>
                    </w:rPr>
                  </w:pPr>
                  <w:r>
                    <w:rPr>
                      <w:rFonts w:hint="eastAsia" w:ascii="宋体" w:hAnsi="宋体" w:cs="宋体"/>
                      <w:color w:val="auto"/>
                      <w:sz w:val="21"/>
                      <w:szCs w:val="21"/>
                      <w:lang w:eastAsia="zh-CN"/>
                    </w:rPr>
                    <w:t>废弃土石方优先回填，多余弃渣运至指定消纳场；施工人员生活垃圾集中收集交由环卫部门清运；废弃泥浆（顶管）经固化后外运处置。</w:t>
                  </w:r>
                </w:p>
              </w:tc>
            </w:tr>
            <w:tr w14:paraId="5E60515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96" w:type="pct"/>
                  <w:vMerge w:val="continue"/>
                  <w:tcBorders>
                    <w:tl2br w:val="nil"/>
                    <w:tr2bl w:val="nil"/>
                  </w:tcBorders>
                  <w:noWrap/>
                  <w:vAlign w:val="center"/>
                </w:tcPr>
                <w:p w14:paraId="278DE9FC">
                  <w:pPr>
                    <w:spacing w:line="300" w:lineRule="exact"/>
                    <w:ind w:firstLine="0" w:firstLineChars="0"/>
                    <w:jc w:val="center"/>
                    <w:rPr>
                      <w:rFonts w:hint="eastAsia"/>
                      <w:color w:val="auto"/>
                      <w:sz w:val="21"/>
                      <w:szCs w:val="21"/>
                      <w:lang w:val="zh-CN"/>
                    </w:rPr>
                  </w:pPr>
                </w:p>
              </w:tc>
              <w:tc>
                <w:tcPr>
                  <w:tcW w:w="833" w:type="pct"/>
                  <w:tcBorders>
                    <w:tl2br w:val="nil"/>
                    <w:tr2bl w:val="nil"/>
                  </w:tcBorders>
                  <w:noWrap/>
                  <w:vAlign w:val="center"/>
                </w:tcPr>
                <w:p w14:paraId="3E043D1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环境管理</w:t>
                  </w:r>
                </w:p>
              </w:tc>
              <w:tc>
                <w:tcPr>
                  <w:tcW w:w="3569" w:type="pct"/>
                  <w:tcBorders>
                    <w:tl2br w:val="nil"/>
                    <w:tr2bl w:val="nil"/>
                  </w:tcBorders>
                  <w:noWrap/>
                  <w:vAlign w:val="center"/>
                </w:tcPr>
                <w:p w14:paraId="57286DC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加强施工期环境监理，落实环保“三同时”制度。</w:t>
                  </w:r>
                </w:p>
              </w:tc>
            </w:tr>
          </w:tbl>
          <w:p w14:paraId="6ADB2B8C">
            <w:pPr>
              <w:pStyle w:val="19"/>
              <w:keepNext/>
              <w:keepLines w:val="0"/>
              <w:pageBreakBefore w:val="0"/>
              <w:widowControl w:val="0"/>
              <w:kinsoku/>
              <w:wordWrap/>
              <w:overflowPunct/>
              <w:topLinePunct w:val="0"/>
              <w:autoSpaceDE/>
              <w:autoSpaceDN/>
              <w:bidi w:val="0"/>
              <w:adjustRightInd/>
              <w:snapToGrid/>
              <w:spacing w:before="0"/>
              <w:textAlignment w:val="auto"/>
              <w:rPr>
                <w:rFonts w:hint="eastAsia"/>
                <w:b w:val="0"/>
                <w:bCs/>
                <w:lang w:val="en-US" w:eastAsia="zh-CN"/>
              </w:rPr>
            </w:pPr>
          </w:p>
          <w:p w14:paraId="287D05AB">
            <w:pPr>
              <w:pStyle w:val="20"/>
              <w:rPr>
                <w:rFonts w:hint="eastAsia"/>
                <w:b w:val="0"/>
                <w:bCs/>
                <w:lang w:val="en-US" w:eastAsia="zh-CN"/>
              </w:rPr>
            </w:pPr>
          </w:p>
          <w:p w14:paraId="1D57DFD8">
            <w:pPr>
              <w:pStyle w:val="20"/>
              <w:rPr>
                <w:rFonts w:hint="eastAsia"/>
                <w:b w:val="0"/>
                <w:bCs/>
                <w:lang w:val="en-US" w:eastAsia="zh-CN"/>
              </w:rPr>
            </w:pPr>
          </w:p>
          <w:p w14:paraId="1D3E5F85">
            <w:pPr>
              <w:pStyle w:val="20"/>
              <w:rPr>
                <w:rFonts w:hint="eastAsia"/>
                <w:b w:val="0"/>
                <w:bCs/>
                <w:lang w:val="en-US" w:eastAsia="zh-CN"/>
              </w:rPr>
            </w:pPr>
          </w:p>
          <w:p w14:paraId="0B6D1C16">
            <w:pPr>
              <w:pStyle w:val="20"/>
              <w:rPr>
                <w:rFonts w:hint="eastAsia"/>
                <w:b w:val="0"/>
                <w:bCs/>
                <w:lang w:val="en-US" w:eastAsia="zh-CN"/>
              </w:rPr>
            </w:pPr>
          </w:p>
          <w:p w14:paraId="40F96AD2">
            <w:pPr>
              <w:pStyle w:val="20"/>
              <w:rPr>
                <w:rFonts w:hint="eastAsia"/>
                <w:b w:val="0"/>
                <w:bCs/>
                <w:lang w:val="en-US" w:eastAsia="zh-CN"/>
              </w:rPr>
            </w:pPr>
          </w:p>
          <w:p w14:paraId="561488E6">
            <w:pPr>
              <w:pStyle w:val="20"/>
              <w:rPr>
                <w:rFonts w:hint="eastAsia"/>
                <w:b w:val="0"/>
                <w:bCs/>
                <w:lang w:val="en-US" w:eastAsia="zh-CN"/>
              </w:rPr>
            </w:pPr>
          </w:p>
          <w:p w14:paraId="7B1117C2">
            <w:pPr>
              <w:pStyle w:val="20"/>
              <w:rPr>
                <w:rFonts w:hint="eastAsia"/>
                <w:b w:val="0"/>
                <w:bCs/>
                <w:lang w:val="en-US" w:eastAsia="zh-CN"/>
              </w:rPr>
            </w:pPr>
          </w:p>
          <w:p w14:paraId="6FFA1172">
            <w:pPr>
              <w:pStyle w:val="20"/>
              <w:rPr>
                <w:rFonts w:hint="eastAsia"/>
                <w:b w:val="0"/>
                <w:bCs/>
                <w:lang w:val="en-US" w:eastAsia="zh-CN"/>
              </w:rPr>
            </w:pPr>
          </w:p>
          <w:p w14:paraId="69A66B44">
            <w:pPr>
              <w:pStyle w:val="20"/>
              <w:rPr>
                <w:rFonts w:hint="eastAsia"/>
                <w:b w:val="0"/>
                <w:bCs/>
                <w:lang w:val="en-US" w:eastAsia="zh-CN"/>
              </w:rPr>
            </w:pPr>
          </w:p>
          <w:p w14:paraId="39D3A1E2">
            <w:pPr>
              <w:pStyle w:val="20"/>
              <w:rPr>
                <w:rFonts w:hint="eastAsia"/>
                <w:b w:val="0"/>
                <w:bCs/>
                <w:lang w:val="en-US" w:eastAsia="zh-CN"/>
              </w:rPr>
            </w:pPr>
          </w:p>
          <w:p w14:paraId="3B478187">
            <w:pPr>
              <w:pStyle w:val="20"/>
              <w:rPr>
                <w:rFonts w:hint="eastAsia"/>
                <w:b w:val="0"/>
                <w:bCs/>
                <w:lang w:val="en-US" w:eastAsia="zh-CN"/>
              </w:rPr>
            </w:pPr>
          </w:p>
          <w:p w14:paraId="52319869">
            <w:pPr>
              <w:pStyle w:val="20"/>
              <w:rPr>
                <w:rFonts w:hint="eastAsia"/>
                <w:b w:val="0"/>
                <w:bCs/>
                <w:lang w:val="en-US" w:eastAsia="zh-CN"/>
              </w:rPr>
            </w:pPr>
          </w:p>
          <w:p w14:paraId="07EFEFC7">
            <w:pPr>
              <w:pStyle w:val="20"/>
              <w:rPr>
                <w:rFonts w:hint="eastAsia"/>
                <w:b w:val="0"/>
                <w:bCs/>
                <w:lang w:val="en-US" w:eastAsia="zh-CN"/>
              </w:rPr>
            </w:pPr>
          </w:p>
          <w:p w14:paraId="610111A1">
            <w:pPr>
              <w:pStyle w:val="19"/>
              <w:keepNext/>
              <w:keepLines w:val="0"/>
              <w:pageBreakBefore w:val="0"/>
              <w:widowControl w:val="0"/>
              <w:kinsoku/>
              <w:wordWrap/>
              <w:overflowPunct/>
              <w:topLinePunct w:val="0"/>
              <w:autoSpaceDE/>
              <w:autoSpaceDN/>
              <w:bidi w:val="0"/>
              <w:adjustRightInd/>
              <w:snapToGrid/>
              <w:spacing w:before="0"/>
              <w:textAlignment w:val="auto"/>
              <w:rPr>
                <w:rFonts w:hint="default"/>
                <w:b w:val="0"/>
                <w:bCs/>
                <w:lang w:val="en-US" w:eastAsia="zh-CN"/>
              </w:rPr>
            </w:pPr>
            <w:r>
              <w:rPr>
                <w:rFonts w:hint="eastAsia"/>
                <w:b w:val="0"/>
                <w:bCs/>
                <w:lang w:val="en-US" w:eastAsia="zh-CN"/>
              </w:rPr>
              <w:t>表2-6  项目组成一览表（供水工程）</w:t>
            </w:r>
          </w:p>
          <w:tbl>
            <w:tblPr>
              <w:tblStyle w:val="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06"/>
              <w:gridCol w:w="1276"/>
              <w:gridCol w:w="5711"/>
            </w:tblGrid>
            <w:tr w14:paraId="502189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tblHeader/>
                <w:jc w:val="center"/>
              </w:trPr>
              <w:tc>
                <w:tcPr>
                  <w:tcW w:w="573" w:type="pct"/>
                  <w:vMerge w:val="restart"/>
                  <w:tcBorders>
                    <w:tl2br w:val="nil"/>
                    <w:tr2bl w:val="nil"/>
                  </w:tcBorders>
                  <w:noWrap/>
                  <w:vAlign w:val="center"/>
                </w:tcPr>
                <w:p w14:paraId="4563E492">
                  <w:pPr>
                    <w:spacing w:line="300" w:lineRule="exact"/>
                    <w:ind w:firstLine="0" w:firstLineChars="0"/>
                    <w:jc w:val="center"/>
                    <w:rPr>
                      <w:color w:val="auto"/>
                      <w:sz w:val="21"/>
                      <w:szCs w:val="21"/>
                      <w:lang w:val="zh-CN"/>
                    </w:rPr>
                  </w:pPr>
                  <w:r>
                    <w:rPr>
                      <w:rFonts w:hint="eastAsia"/>
                      <w:color w:val="auto"/>
                      <w:sz w:val="21"/>
                      <w:szCs w:val="21"/>
                      <w:lang w:val="zh-CN"/>
                    </w:rPr>
                    <w:t>名称</w:t>
                  </w:r>
                </w:p>
              </w:tc>
              <w:tc>
                <w:tcPr>
                  <w:tcW w:w="4426" w:type="pct"/>
                  <w:gridSpan w:val="2"/>
                  <w:vMerge w:val="restart"/>
                  <w:tcBorders>
                    <w:tl2br w:val="nil"/>
                    <w:tr2bl w:val="nil"/>
                  </w:tcBorders>
                  <w:noWrap/>
                  <w:vAlign w:val="center"/>
                </w:tcPr>
                <w:p w14:paraId="799A8C3F">
                  <w:pPr>
                    <w:spacing w:line="300" w:lineRule="exact"/>
                    <w:ind w:firstLine="0" w:firstLineChars="0"/>
                    <w:jc w:val="center"/>
                    <w:rPr>
                      <w:color w:val="auto"/>
                      <w:sz w:val="21"/>
                      <w:szCs w:val="21"/>
                      <w:lang w:val="zh-CN"/>
                    </w:rPr>
                  </w:pPr>
                  <w:r>
                    <w:rPr>
                      <w:rFonts w:hint="eastAsia"/>
                      <w:color w:val="auto"/>
                      <w:sz w:val="21"/>
                      <w:szCs w:val="21"/>
                      <w:lang w:val="zh-CN"/>
                    </w:rPr>
                    <w:t>建设内容及规模</w:t>
                  </w:r>
                </w:p>
              </w:tc>
            </w:tr>
            <w:tr w14:paraId="5068DD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tblHeader/>
                <w:jc w:val="center"/>
              </w:trPr>
              <w:tc>
                <w:tcPr>
                  <w:tcW w:w="573" w:type="pct"/>
                  <w:vMerge w:val="continue"/>
                  <w:tcBorders>
                    <w:tl2br w:val="nil"/>
                    <w:tr2bl w:val="nil"/>
                  </w:tcBorders>
                  <w:noWrap/>
                  <w:vAlign w:val="center"/>
                </w:tcPr>
                <w:p w14:paraId="6AECB259">
                  <w:pPr>
                    <w:spacing w:line="300" w:lineRule="exact"/>
                    <w:ind w:firstLine="0" w:firstLineChars="0"/>
                    <w:jc w:val="center"/>
                    <w:rPr>
                      <w:rFonts w:hint="eastAsia"/>
                      <w:color w:val="FF0000"/>
                      <w:sz w:val="21"/>
                      <w:szCs w:val="21"/>
                      <w:lang w:val="zh-CN"/>
                    </w:rPr>
                  </w:pPr>
                </w:p>
              </w:tc>
              <w:tc>
                <w:tcPr>
                  <w:tcW w:w="4426" w:type="pct"/>
                  <w:gridSpan w:val="2"/>
                  <w:vMerge w:val="continue"/>
                  <w:tcBorders>
                    <w:tl2br w:val="nil"/>
                    <w:tr2bl w:val="nil"/>
                  </w:tcBorders>
                  <w:noWrap/>
                  <w:vAlign w:val="center"/>
                </w:tcPr>
                <w:p w14:paraId="0F5D2B89">
                  <w:pPr>
                    <w:spacing w:line="300" w:lineRule="exact"/>
                    <w:ind w:firstLine="0" w:firstLineChars="0"/>
                    <w:jc w:val="center"/>
                    <w:rPr>
                      <w:rFonts w:hint="eastAsia"/>
                      <w:color w:val="FF0000"/>
                      <w:sz w:val="21"/>
                      <w:szCs w:val="21"/>
                      <w:lang w:val="zh-CN"/>
                    </w:rPr>
                  </w:pPr>
                </w:p>
              </w:tc>
            </w:tr>
            <w:tr w14:paraId="3569A9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73" w:type="pct"/>
                  <w:tcBorders>
                    <w:tl2br w:val="nil"/>
                    <w:tr2bl w:val="nil"/>
                  </w:tcBorders>
                  <w:noWrap/>
                  <w:vAlign w:val="center"/>
                </w:tcPr>
                <w:p w14:paraId="7F0F53D8">
                  <w:pPr>
                    <w:spacing w:line="300" w:lineRule="exact"/>
                    <w:ind w:firstLine="0" w:firstLineChars="0"/>
                    <w:jc w:val="center"/>
                    <w:rPr>
                      <w:rFonts w:hint="eastAsia" w:eastAsia="宋体"/>
                      <w:color w:val="auto"/>
                      <w:sz w:val="21"/>
                      <w:szCs w:val="21"/>
                      <w:lang w:val="en-US" w:eastAsia="zh-CN"/>
                    </w:rPr>
                  </w:pPr>
                  <w:r>
                    <w:rPr>
                      <w:rFonts w:hint="eastAsia"/>
                      <w:color w:val="auto"/>
                      <w:sz w:val="21"/>
                      <w:szCs w:val="21"/>
                      <w:lang w:val="zh-CN"/>
                    </w:rPr>
                    <w:t>主体工程</w:t>
                  </w:r>
                </w:p>
              </w:tc>
              <w:tc>
                <w:tcPr>
                  <w:tcW w:w="4426" w:type="pct"/>
                  <w:gridSpan w:val="2"/>
                  <w:tcBorders>
                    <w:tl2br w:val="nil"/>
                    <w:tr2bl w:val="nil"/>
                  </w:tcBorders>
                  <w:noWrap/>
                  <w:vAlign w:val="center"/>
                </w:tcPr>
                <w:p w14:paraId="5D4EAB8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①供水管道工程：新建给水管道总长99480米。其中大于DN100管道41880米（含DN200、DN150、DN100等），小于等于DN100管道57600米（含DN50、DN54等）。</w:t>
                  </w:r>
                </w:p>
                <w:p w14:paraId="36E2482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②梅溪街道胥家桥社区给水：沿X022县道、G107国道、北环线敷设DN200球墨管、φ219涂塑钢管、DN100球墨管等，总长约7512米；安装水表171组。</w:t>
                  </w:r>
                </w:p>
                <w:p w14:paraId="3260F8C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rPr>
                    <w:t>③郭镇乡城乡供水一体化：敷设DN300～DN50管线86472米，解决麻布村、磨刀村、建中村、枣树村、蔡家村、仓田村等3614户居民用水；</w:t>
                  </w:r>
                  <w:r>
                    <w:rPr>
                      <w:rFonts w:hint="eastAsia" w:ascii="宋体" w:hAnsi="宋体" w:cs="宋体"/>
                      <w:color w:val="auto"/>
                      <w:sz w:val="21"/>
                      <w:szCs w:val="21"/>
                      <w:highlight w:val="none"/>
                      <w:lang w:val="en-US" w:eastAsia="zh-CN"/>
                    </w:rPr>
                    <w:t>新建（原址拆除重建）</w:t>
                  </w:r>
                  <w:r>
                    <w:rPr>
                      <w:rFonts w:hint="eastAsia" w:ascii="宋体" w:hAnsi="宋体" w:eastAsia="宋体" w:cs="宋体"/>
                      <w:color w:val="auto"/>
                      <w:sz w:val="21"/>
                      <w:szCs w:val="21"/>
                      <w:highlight w:val="none"/>
                    </w:rPr>
                    <w:t>加压泵站</w:t>
                  </w:r>
                  <w:r>
                    <w:rPr>
                      <w:rFonts w:hint="eastAsia" w:ascii="宋体" w:hAnsi="宋体" w:cs="宋体"/>
                      <w:color w:val="auto"/>
                      <w:sz w:val="21"/>
                      <w:szCs w:val="21"/>
                      <w:highlight w:val="none"/>
                      <w:lang w:val="en-US" w:eastAsia="zh-CN"/>
                    </w:rPr>
                    <w:t>1座</w:t>
                  </w:r>
                  <w:r>
                    <w:rPr>
                      <w:rFonts w:hint="eastAsia" w:ascii="宋体" w:hAnsi="宋体" w:eastAsia="宋体" w:cs="宋体"/>
                      <w:color w:val="auto"/>
                      <w:sz w:val="21"/>
                      <w:szCs w:val="21"/>
                      <w:highlight w:val="none"/>
                    </w:rPr>
                    <w:t>。</w:t>
                  </w:r>
                </w:p>
                <w:p w14:paraId="62B14A5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eastAsia="宋体" w:cs="宋体"/>
                      <w:color w:val="auto"/>
                      <w:sz w:val="21"/>
                      <w:szCs w:val="21"/>
                    </w:rPr>
                  </w:pPr>
                  <w:r>
                    <w:rPr>
                      <w:rFonts w:hint="eastAsia" w:ascii="宋体" w:hAnsi="宋体" w:eastAsia="宋体" w:cs="宋体"/>
                      <w:color w:val="auto"/>
                      <w:sz w:val="21"/>
                      <w:szCs w:val="21"/>
                      <w:highlight w:val="none"/>
                    </w:rPr>
                    <w:t>④康王乡乌江村杨埠片：敷设给水管道及加压泵站</w:t>
                  </w:r>
                  <w:r>
                    <w:rPr>
                      <w:rFonts w:hint="eastAsia" w:ascii="宋体" w:hAnsi="宋体" w:cs="宋体"/>
                      <w:color w:val="auto"/>
                      <w:sz w:val="21"/>
                      <w:szCs w:val="21"/>
                      <w:highlight w:val="none"/>
                      <w:lang w:val="en-US" w:eastAsia="zh-CN"/>
                    </w:rPr>
                    <w:t>设备更换</w:t>
                  </w:r>
                  <w:r>
                    <w:rPr>
                      <w:rFonts w:hint="eastAsia" w:ascii="宋体" w:hAnsi="宋体" w:eastAsia="宋体" w:cs="宋体"/>
                      <w:color w:val="auto"/>
                      <w:sz w:val="21"/>
                      <w:szCs w:val="21"/>
                      <w:highlight w:val="none"/>
                    </w:rPr>
                    <w:t>，解</w:t>
                  </w:r>
                  <w:r>
                    <w:rPr>
                      <w:rFonts w:hint="eastAsia" w:ascii="宋体" w:hAnsi="宋体" w:eastAsia="宋体" w:cs="宋体"/>
                      <w:color w:val="auto"/>
                      <w:sz w:val="21"/>
                      <w:szCs w:val="21"/>
                    </w:rPr>
                    <w:t>决水压不足问题及新建18户水表。</w:t>
                  </w:r>
                </w:p>
                <w:p w14:paraId="520341A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color w:val="auto"/>
                      <w:sz w:val="21"/>
                      <w:szCs w:val="21"/>
                      <w:lang w:val="zh-CN"/>
                    </w:rPr>
                  </w:pPr>
                  <w:r>
                    <w:rPr>
                      <w:rFonts w:hint="eastAsia" w:ascii="宋体" w:hAnsi="宋体" w:eastAsia="宋体" w:cs="宋体"/>
                      <w:color w:val="auto"/>
                      <w:sz w:val="21"/>
                      <w:szCs w:val="21"/>
                    </w:rPr>
                    <w:t>⑤附属设施：设置软密封闸阀、复合自动排气阀、排泥阀；配套阀门井、排气井、排泥井约330座。</w:t>
                  </w:r>
                </w:p>
              </w:tc>
            </w:tr>
            <w:tr w14:paraId="4500AA3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73" w:type="pct"/>
                  <w:vMerge w:val="restart"/>
                  <w:tcBorders>
                    <w:tl2br w:val="nil"/>
                    <w:tr2bl w:val="nil"/>
                  </w:tcBorders>
                  <w:noWrap/>
                  <w:vAlign w:val="center"/>
                </w:tcPr>
                <w:p w14:paraId="514999DF">
                  <w:pPr>
                    <w:spacing w:line="300" w:lineRule="exact"/>
                    <w:ind w:firstLine="0" w:firstLineChars="0"/>
                    <w:jc w:val="center"/>
                    <w:rPr>
                      <w:rFonts w:hint="eastAsia"/>
                      <w:color w:val="auto"/>
                      <w:sz w:val="21"/>
                      <w:szCs w:val="21"/>
                      <w:lang w:val="zh-CN"/>
                    </w:rPr>
                  </w:pPr>
                  <w:r>
                    <w:rPr>
                      <w:rFonts w:hint="eastAsia"/>
                      <w:color w:val="auto"/>
                      <w:sz w:val="21"/>
                      <w:szCs w:val="21"/>
                      <w:lang w:val="zh-CN"/>
                    </w:rPr>
                    <w:t>临时工程</w:t>
                  </w:r>
                </w:p>
              </w:tc>
              <w:tc>
                <w:tcPr>
                  <w:tcW w:w="808" w:type="pct"/>
                  <w:tcBorders>
                    <w:tl2br w:val="nil"/>
                    <w:tr2bl w:val="nil"/>
                  </w:tcBorders>
                  <w:noWrap/>
                  <w:vAlign w:val="center"/>
                </w:tcPr>
                <w:p w14:paraId="595D7EA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color w:val="auto"/>
                      <w:sz w:val="21"/>
                      <w:szCs w:val="21"/>
                      <w:lang w:eastAsia="zh-CN"/>
                    </w:rPr>
                  </w:pPr>
                  <w:r>
                    <w:rPr>
                      <w:rFonts w:hint="eastAsia" w:ascii="宋体" w:hAnsi="宋体" w:cs="宋体"/>
                      <w:color w:val="auto"/>
                      <w:sz w:val="21"/>
                      <w:szCs w:val="21"/>
                      <w:lang w:eastAsia="zh-CN"/>
                    </w:rPr>
                    <w:t>料场</w:t>
                  </w:r>
                </w:p>
              </w:tc>
              <w:tc>
                <w:tcPr>
                  <w:tcW w:w="3617" w:type="pct"/>
                  <w:tcBorders>
                    <w:tl2br w:val="nil"/>
                    <w:tr2bl w:val="nil"/>
                  </w:tcBorders>
                  <w:noWrap/>
                  <w:vAlign w:val="center"/>
                </w:tcPr>
                <w:p w14:paraId="3ACBBD6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eastAsia="宋体" w:cs="宋体"/>
                      <w:color w:val="auto"/>
                      <w:sz w:val="21"/>
                      <w:szCs w:val="21"/>
                      <w:lang w:eastAsia="zh-CN"/>
                    </w:rPr>
                  </w:pPr>
                  <w:r>
                    <w:rPr>
                      <w:rFonts w:hint="eastAsia" w:ascii="宋体" w:hAnsi="宋体" w:cs="宋体"/>
                      <w:color w:val="auto"/>
                      <w:sz w:val="21"/>
                      <w:szCs w:val="21"/>
                      <w:lang w:eastAsia="zh-CN"/>
                    </w:rPr>
                    <w:t>管材、配件等全部外购，不设料场。</w:t>
                  </w:r>
                </w:p>
              </w:tc>
            </w:tr>
            <w:tr w14:paraId="7CC6384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73" w:type="pct"/>
                  <w:vMerge w:val="continue"/>
                  <w:tcBorders>
                    <w:tl2br w:val="nil"/>
                    <w:tr2bl w:val="nil"/>
                  </w:tcBorders>
                  <w:noWrap/>
                  <w:vAlign w:val="center"/>
                </w:tcPr>
                <w:p w14:paraId="219D7C7F">
                  <w:pPr>
                    <w:spacing w:line="300" w:lineRule="exact"/>
                    <w:ind w:firstLine="0" w:firstLineChars="0"/>
                    <w:jc w:val="center"/>
                    <w:rPr>
                      <w:rFonts w:hint="eastAsia"/>
                      <w:color w:val="auto"/>
                      <w:sz w:val="21"/>
                      <w:szCs w:val="21"/>
                      <w:lang w:val="zh-CN"/>
                    </w:rPr>
                  </w:pPr>
                </w:p>
              </w:tc>
              <w:tc>
                <w:tcPr>
                  <w:tcW w:w="808" w:type="pct"/>
                  <w:tcBorders>
                    <w:tl2br w:val="nil"/>
                    <w:tr2bl w:val="nil"/>
                  </w:tcBorders>
                  <w:noWrap/>
                  <w:vAlign w:val="center"/>
                </w:tcPr>
                <w:p w14:paraId="6BAE483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弃渣场</w:t>
                  </w:r>
                </w:p>
              </w:tc>
              <w:tc>
                <w:tcPr>
                  <w:tcW w:w="3617" w:type="pct"/>
                  <w:tcBorders>
                    <w:tl2br w:val="nil"/>
                    <w:tr2bl w:val="nil"/>
                  </w:tcBorders>
                  <w:noWrap/>
                  <w:vAlign w:val="center"/>
                </w:tcPr>
                <w:p w14:paraId="0DE1C82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default" w:ascii="宋体" w:hAnsi="宋体" w:cs="宋体"/>
                      <w:color w:val="auto"/>
                      <w:sz w:val="21"/>
                      <w:szCs w:val="21"/>
                      <w:lang w:val="en-US" w:eastAsia="zh-CN"/>
                    </w:rPr>
                  </w:pPr>
                  <w:r>
                    <w:rPr>
                      <w:rFonts w:hint="eastAsia" w:ascii="宋体" w:hAnsi="宋体" w:cs="宋体"/>
                      <w:color w:val="auto"/>
                      <w:sz w:val="21"/>
                      <w:szCs w:val="21"/>
                      <w:lang w:eastAsia="zh-CN"/>
                    </w:rPr>
                    <w:t>不单独设弃渣场，开挖土方尽量回填，多余弃渣就地平衡或运至指定消纳场。</w:t>
                  </w:r>
                </w:p>
              </w:tc>
            </w:tr>
            <w:tr w14:paraId="100F7A5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73" w:type="pct"/>
                  <w:vMerge w:val="continue"/>
                  <w:tcBorders>
                    <w:tl2br w:val="nil"/>
                    <w:tr2bl w:val="nil"/>
                  </w:tcBorders>
                  <w:noWrap/>
                  <w:vAlign w:val="center"/>
                </w:tcPr>
                <w:p w14:paraId="1C8DAED6">
                  <w:pPr>
                    <w:spacing w:line="300" w:lineRule="exact"/>
                    <w:ind w:firstLine="0" w:firstLineChars="0"/>
                    <w:jc w:val="center"/>
                    <w:rPr>
                      <w:rFonts w:hint="eastAsia"/>
                      <w:color w:val="auto"/>
                      <w:sz w:val="21"/>
                      <w:szCs w:val="21"/>
                      <w:lang w:val="zh-CN"/>
                    </w:rPr>
                  </w:pPr>
                </w:p>
              </w:tc>
              <w:tc>
                <w:tcPr>
                  <w:tcW w:w="808" w:type="pct"/>
                  <w:tcBorders>
                    <w:tl2br w:val="nil"/>
                    <w:tr2bl w:val="nil"/>
                  </w:tcBorders>
                  <w:noWrap/>
                  <w:vAlign w:val="center"/>
                </w:tcPr>
                <w:p w14:paraId="00FCF6F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混凝土拌合</w:t>
                  </w:r>
                </w:p>
              </w:tc>
              <w:tc>
                <w:tcPr>
                  <w:tcW w:w="3617" w:type="pct"/>
                  <w:tcBorders>
                    <w:tl2br w:val="nil"/>
                    <w:tr2bl w:val="nil"/>
                  </w:tcBorders>
                  <w:noWrap/>
                  <w:vAlign w:val="center"/>
                </w:tcPr>
                <w:p w14:paraId="1C423D5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default" w:ascii="宋体" w:hAnsi="宋体" w:cs="宋体"/>
                      <w:color w:val="auto"/>
                      <w:sz w:val="21"/>
                      <w:szCs w:val="21"/>
                      <w:lang w:val="en-US" w:eastAsia="zh-CN"/>
                    </w:rPr>
                  </w:pPr>
                  <w:r>
                    <w:rPr>
                      <w:rFonts w:hint="eastAsia" w:ascii="宋体" w:hAnsi="宋体" w:cs="宋体"/>
                      <w:color w:val="auto"/>
                      <w:sz w:val="21"/>
                      <w:szCs w:val="21"/>
                      <w:lang w:eastAsia="zh-CN"/>
                    </w:rPr>
                    <w:t>全部用商品混凝土，现场不设拌合站</w:t>
                  </w:r>
                </w:p>
              </w:tc>
            </w:tr>
            <w:tr w14:paraId="2A01DD3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73" w:type="pct"/>
                  <w:vMerge w:val="continue"/>
                  <w:tcBorders>
                    <w:tl2br w:val="nil"/>
                    <w:tr2bl w:val="nil"/>
                  </w:tcBorders>
                  <w:noWrap/>
                  <w:vAlign w:val="center"/>
                </w:tcPr>
                <w:p w14:paraId="2E426008">
                  <w:pPr>
                    <w:spacing w:line="300" w:lineRule="exact"/>
                    <w:ind w:firstLine="0" w:firstLineChars="0"/>
                    <w:jc w:val="center"/>
                    <w:rPr>
                      <w:rFonts w:hint="eastAsia"/>
                      <w:color w:val="auto"/>
                      <w:sz w:val="21"/>
                      <w:szCs w:val="21"/>
                      <w:lang w:val="zh-CN"/>
                    </w:rPr>
                  </w:pPr>
                </w:p>
              </w:tc>
              <w:tc>
                <w:tcPr>
                  <w:tcW w:w="808" w:type="pct"/>
                  <w:tcBorders>
                    <w:tl2br w:val="nil"/>
                    <w:tr2bl w:val="nil"/>
                  </w:tcBorders>
                  <w:noWrap/>
                  <w:vAlign w:val="center"/>
                </w:tcPr>
                <w:p w14:paraId="3CEFD50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临时堆土场</w:t>
                  </w:r>
                </w:p>
              </w:tc>
              <w:tc>
                <w:tcPr>
                  <w:tcW w:w="3617" w:type="pct"/>
                  <w:tcBorders>
                    <w:tl2br w:val="nil"/>
                    <w:tr2bl w:val="nil"/>
                  </w:tcBorders>
                  <w:noWrap/>
                  <w:vAlign w:val="center"/>
                </w:tcPr>
                <w:p w14:paraId="27365BA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沿管线施工作业带设置临时堆土场，用于回填土临时堆放。</w:t>
                  </w:r>
                </w:p>
              </w:tc>
            </w:tr>
            <w:tr w14:paraId="0D750D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73" w:type="pct"/>
                  <w:vMerge w:val="continue"/>
                  <w:tcBorders>
                    <w:tl2br w:val="nil"/>
                    <w:tr2bl w:val="nil"/>
                  </w:tcBorders>
                  <w:noWrap/>
                  <w:vAlign w:val="center"/>
                </w:tcPr>
                <w:p w14:paraId="244E34FA">
                  <w:pPr>
                    <w:spacing w:line="300" w:lineRule="exact"/>
                    <w:ind w:firstLine="0" w:firstLineChars="0"/>
                    <w:jc w:val="center"/>
                    <w:rPr>
                      <w:rFonts w:hint="eastAsia"/>
                      <w:color w:val="auto"/>
                      <w:sz w:val="21"/>
                      <w:szCs w:val="21"/>
                      <w:lang w:val="zh-CN"/>
                    </w:rPr>
                  </w:pPr>
                </w:p>
              </w:tc>
              <w:tc>
                <w:tcPr>
                  <w:tcW w:w="808" w:type="pct"/>
                  <w:tcBorders>
                    <w:tl2br w:val="nil"/>
                    <w:tr2bl w:val="nil"/>
                  </w:tcBorders>
                  <w:noWrap/>
                  <w:vAlign w:val="center"/>
                </w:tcPr>
                <w:p w14:paraId="19D277D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施工营地</w:t>
                  </w:r>
                </w:p>
              </w:tc>
              <w:tc>
                <w:tcPr>
                  <w:tcW w:w="3617" w:type="pct"/>
                  <w:tcBorders>
                    <w:tl2br w:val="nil"/>
                    <w:tr2bl w:val="nil"/>
                  </w:tcBorders>
                  <w:noWrap/>
                  <w:vAlign w:val="center"/>
                </w:tcPr>
                <w:p w14:paraId="64333F5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default" w:ascii="宋体" w:hAnsi="宋体" w:cs="宋体"/>
                      <w:color w:val="auto"/>
                      <w:sz w:val="21"/>
                      <w:szCs w:val="21"/>
                      <w:lang w:val="en-US" w:eastAsia="zh-CN"/>
                    </w:rPr>
                  </w:pPr>
                  <w:r>
                    <w:rPr>
                      <w:rFonts w:hint="eastAsia" w:ascii="宋体" w:hAnsi="宋体" w:cs="宋体"/>
                      <w:color w:val="auto"/>
                      <w:sz w:val="21"/>
                      <w:szCs w:val="21"/>
                      <w:lang w:eastAsia="zh-CN"/>
                    </w:rPr>
                    <w:t>按区域设置1～2个施工营地，租赁当地民房或村集体用房，用于材料堆放及简易加工，员工就近招聘，不集中食宿。</w:t>
                  </w:r>
                </w:p>
              </w:tc>
            </w:tr>
            <w:tr w14:paraId="148536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73" w:type="pct"/>
                  <w:vMerge w:val="restart"/>
                  <w:tcBorders>
                    <w:tl2br w:val="nil"/>
                    <w:tr2bl w:val="nil"/>
                  </w:tcBorders>
                  <w:noWrap/>
                  <w:vAlign w:val="center"/>
                </w:tcPr>
                <w:p w14:paraId="1B062B17">
                  <w:pPr>
                    <w:spacing w:line="300" w:lineRule="exact"/>
                    <w:ind w:firstLine="0" w:firstLineChars="0"/>
                    <w:jc w:val="center"/>
                    <w:rPr>
                      <w:rFonts w:hint="eastAsia"/>
                      <w:color w:val="auto"/>
                      <w:sz w:val="21"/>
                      <w:szCs w:val="21"/>
                      <w:lang w:val="zh-CN"/>
                    </w:rPr>
                  </w:pPr>
                  <w:r>
                    <w:rPr>
                      <w:rFonts w:hint="eastAsia"/>
                      <w:color w:val="auto"/>
                      <w:sz w:val="21"/>
                      <w:szCs w:val="21"/>
                      <w:lang w:val="zh-CN"/>
                    </w:rPr>
                    <w:t>公用工程</w:t>
                  </w:r>
                </w:p>
              </w:tc>
              <w:tc>
                <w:tcPr>
                  <w:tcW w:w="808" w:type="pct"/>
                  <w:tcBorders>
                    <w:tl2br w:val="nil"/>
                    <w:tr2bl w:val="nil"/>
                  </w:tcBorders>
                  <w:noWrap/>
                  <w:vAlign w:val="center"/>
                </w:tcPr>
                <w:p w14:paraId="0E484E7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供水</w:t>
                  </w:r>
                </w:p>
              </w:tc>
              <w:tc>
                <w:tcPr>
                  <w:tcW w:w="3617" w:type="pct"/>
                  <w:tcBorders>
                    <w:tl2br w:val="nil"/>
                    <w:tr2bl w:val="nil"/>
                  </w:tcBorders>
                  <w:noWrap/>
                  <w:vAlign w:val="center"/>
                </w:tcPr>
                <w:p w14:paraId="7F26265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施工用水就近接市政给水管网或利用周边水源。</w:t>
                  </w:r>
                </w:p>
              </w:tc>
            </w:tr>
            <w:tr w14:paraId="54BF627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73" w:type="pct"/>
                  <w:vMerge w:val="continue"/>
                  <w:tcBorders>
                    <w:tl2br w:val="nil"/>
                    <w:tr2bl w:val="nil"/>
                  </w:tcBorders>
                  <w:noWrap/>
                  <w:vAlign w:val="center"/>
                </w:tcPr>
                <w:p w14:paraId="78D28D99">
                  <w:pPr>
                    <w:spacing w:line="300" w:lineRule="exact"/>
                    <w:ind w:firstLine="0" w:firstLineChars="0"/>
                    <w:jc w:val="center"/>
                    <w:rPr>
                      <w:rFonts w:hint="eastAsia"/>
                      <w:color w:val="auto"/>
                      <w:sz w:val="21"/>
                      <w:szCs w:val="21"/>
                      <w:lang w:val="zh-CN"/>
                    </w:rPr>
                  </w:pPr>
                </w:p>
              </w:tc>
              <w:tc>
                <w:tcPr>
                  <w:tcW w:w="808" w:type="pct"/>
                  <w:tcBorders>
                    <w:tl2br w:val="nil"/>
                    <w:tr2bl w:val="nil"/>
                  </w:tcBorders>
                  <w:noWrap/>
                  <w:vAlign w:val="center"/>
                </w:tcPr>
                <w:p w14:paraId="5908240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供电</w:t>
                  </w:r>
                </w:p>
              </w:tc>
              <w:tc>
                <w:tcPr>
                  <w:tcW w:w="3617" w:type="pct"/>
                  <w:tcBorders>
                    <w:tl2br w:val="nil"/>
                    <w:tr2bl w:val="nil"/>
                  </w:tcBorders>
                  <w:noWrap/>
                  <w:vAlign w:val="center"/>
                </w:tcPr>
                <w:p w14:paraId="28483C2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项目供电由当地市政电网</w:t>
                  </w:r>
                </w:p>
              </w:tc>
            </w:tr>
            <w:tr w14:paraId="275E52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73" w:type="pct"/>
                  <w:tcBorders>
                    <w:tl2br w:val="nil"/>
                    <w:tr2bl w:val="nil"/>
                  </w:tcBorders>
                  <w:noWrap/>
                  <w:vAlign w:val="center"/>
                </w:tcPr>
                <w:p w14:paraId="25ED2DD0">
                  <w:pPr>
                    <w:spacing w:line="300" w:lineRule="exact"/>
                    <w:ind w:firstLine="0" w:firstLineChars="0"/>
                    <w:jc w:val="center"/>
                    <w:rPr>
                      <w:rFonts w:hint="default" w:eastAsia="宋体"/>
                      <w:color w:val="auto"/>
                      <w:sz w:val="21"/>
                      <w:szCs w:val="21"/>
                      <w:lang w:val="en-US" w:eastAsia="zh-CN"/>
                    </w:rPr>
                  </w:pPr>
                  <w:r>
                    <w:rPr>
                      <w:rFonts w:hint="eastAsia"/>
                      <w:color w:val="auto"/>
                      <w:sz w:val="21"/>
                      <w:szCs w:val="21"/>
                      <w:lang w:val="en-US" w:eastAsia="zh-CN"/>
                    </w:rPr>
                    <w:t>依托工程</w:t>
                  </w:r>
                </w:p>
              </w:tc>
              <w:tc>
                <w:tcPr>
                  <w:tcW w:w="4426" w:type="pct"/>
                  <w:gridSpan w:val="2"/>
                  <w:tcBorders>
                    <w:tl2br w:val="nil"/>
                    <w:tr2bl w:val="nil"/>
                  </w:tcBorders>
                  <w:noWrap/>
                  <w:vAlign w:val="center"/>
                </w:tcPr>
                <w:p w14:paraId="4C89B5F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default" w:ascii="宋体" w:hAnsi="宋体" w:cs="宋体"/>
                      <w:color w:val="auto"/>
                      <w:sz w:val="21"/>
                      <w:szCs w:val="21"/>
                      <w:lang w:val="en-US" w:eastAsia="zh-CN"/>
                    </w:rPr>
                  </w:pPr>
                  <w:r>
                    <w:rPr>
                      <w:rFonts w:hint="eastAsia" w:ascii="宋体" w:hAnsi="宋体" w:cs="宋体"/>
                      <w:color w:val="auto"/>
                      <w:sz w:val="21"/>
                      <w:szCs w:val="21"/>
                      <w:lang w:val="en-US" w:eastAsia="zh-CN"/>
                    </w:rPr>
                    <w:t>依托项目地市政路网、施工交通条件及周边环卫、市政等公共基础设施</w:t>
                  </w:r>
                </w:p>
              </w:tc>
            </w:tr>
            <w:tr w14:paraId="7BDBA77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73" w:type="pct"/>
                  <w:tcBorders>
                    <w:tl2br w:val="nil"/>
                    <w:tr2bl w:val="nil"/>
                  </w:tcBorders>
                  <w:noWrap/>
                  <w:vAlign w:val="center"/>
                </w:tcPr>
                <w:p w14:paraId="6DDCA64C">
                  <w:pPr>
                    <w:spacing w:line="300" w:lineRule="exact"/>
                    <w:ind w:firstLine="0" w:firstLineChars="0"/>
                    <w:jc w:val="center"/>
                    <w:rPr>
                      <w:rFonts w:hint="eastAsia"/>
                      <w:color w:val="auto"/>
                      <w:sz w:val="21"/>
                      <w:szCs w:val="21"/>
                      <w:lang w:val="zh-CN"/>
                    </w:rPr>
                  </w:pPr>
                  <w:r>
                    <w:rPr>
                      <w:rFonts w:hint="eastAsia"/>
                      <w:color w:val="auto"/>
                      <w:sz w:val="21"/>
                      <w:szCs w:val="21"/>
                      <w:lang w:val="zh-CN"/>
                    </w:rPr>
                    <w:t>征地移民</w:t>
                  </w:r>
                </w:p>
              </w:tc>
              <w:tc>
                <w:tcPr>
                  <w:tcW w:w="4426" w:type="pct"/>
                  <w:gridSpan w:val="2"/>
                  <w:tcBorders>
                    <w:tl2br w:val="nil"/>
                    <w:tr2bl w:val="nil"/>
                  </w:tcBorders>
                  <w:noWrap/>
                  <w:vAlign w:val="center"/>
                </w:tcPr>
                <w:p w14:paraId="531E3C5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default" w:ascii="宋体" w:hAnsi="宋体" w:cs="宋体"/>
                      <w:color w:val="auto"/>
                      <w:sz w:val="21"/>
                      <w:szCs w:val="21"/>
                      <w:lang w:val="en-US" w:eastAsia="zh-CN"/>
                    </w:rPr>
                  </w:pPr>
                  <w:r>
                    <w:rPr>
                      <w:rFonts w:hint="eastAsia" w:ascii="宋体" w:hAnsi="宋体" w:cs="宋体"/>
                      <w:color w:val="auto"/>
                      <w:sz w:val="21"/>
                      <w:szCs w:val="21"/>
                      <w:lang w:eastAsia="zh-CN"/>
                    </w:rPr>
                    <w:t>项目总占地面积</w:t>
                  </w:r>
                  <w:r>
                    <w:rPr>
                      <w:rFonts w:hint="eastAsia" w:ascii="宋体" w:hAnsi="宋体" w:cs="宋体"/>
                      <w:color w:val="auto"/>
                      <w:sz w:val="21"/>
                      <w:szCs w:val="21"/>
                      <w:lang w:val="en-US" w:eastAsia="zh-CN"/>
                    </w:rPr>
                    <w:t>15亩，全部是临时占土，无新增永久占地，不涉及移民拆迁</w:t>
                  </w:r>
                </w:p>
              </w:tc>
            </w:tr>
            <w:tr w14:paraId="438AFF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73" w:type="pct"/>
                  <w:vMerge w:val="restart"/>
                  <w:tcBorders>
                    <w:tl2br w:val="nil"/>
                    <w:tr2bl w:val="nil"/>
                  </w:tcBorders>
                  <w:noWrap/>
                  <w:vAlign w:val="center"/>
                </w:tcPr>
                <w:p w14:paraId="7FCB6303">
                  <w:pPr>
                    <w:spacing w:line="300" w:lineRule="exact"/>
                    <w:ind w:firstLine="0" w:firstLineChars="0"/>
                    <w:jc w:val="center"/>
                    <w:rPr>
                      <w:rFonts w:hint="default" w:eastAsia="宋体"/>
                      <w:color w:val="auto"/>
                      <w:sz w:val="21"/>
                      <w:szCs w:val="21"/>
                      <w:lang w:val="en-US" w:eastAsia="zh-CN"/>
                    </w:rPr>
                  </w:pPr>
                  <w:r>
                    <w:rPr>
                      <w:rFonts w:hint="eastAsia"/>
                      <w:color w:val="auto"/>
                      <w:sz w:val="21"/>
                      <w:szCs w:val="21"/>
                      <w:lang w:val="en-US" w:eastAsia="zh-CN"/>
                    </w:rPr>
                    <w:t>环保工程</w:t>
                  </w:r>
                </w:p>
              </w:tc>
              <w:tc>
                <w:tcPr>
                  <w:tcW w:w="808" w:type="pct"/>
                  <w:tcBorders>
                    <w:tl2br w:val="nil"/>
                    <w:tr2bl w:val="nil"/>
                  </w:tcBorders>
                  <w:noWrap/>
                  <w:vAlign w:val="center"/>
                </w:tcPr>
                <w:p w14:paraId="4FD1712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生态保护措施</w:t>
                  </w:r>
                </w:p>
              </w:tc>
              <w:tc>
                <w:tcPr>
                  <w:tcW w:w="3617" w:type="pct"/>
                  <w:tcBorders>
                    <w:tl2br w:val="nil"/>
                    <w:tr2bl w:val="nil"/>
                  </w:tcBorders>
                  <w:noWrap/>
                  <w:vAlign w:val="center"/>
                </w:tcPr>
                <w:p w14:paraId="5D449C7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管道施工分段进行，减少临时占地；施工后恢复地表植被或硬化。</w:t>
                  </w:r>
                </w:p>
              </w:tc>
            </w:tr>
            <w:tr w14:paraId="4FAB21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73" w:type="pct"/>
                  <w:vMerge w:val="continue"/>
                  <w:tcBorders>
                    <w:tl2br w:val="nil"/>
                    <w:tr2bl w:val="nil"/>
                  </w:tcBorders>
                  <w:noWrap/>
                  <w:vAlign w:val="center"/>
                </w:tcPr>
                <w:p w14:paraId="527D8369">
                  <w:pPr>
                    <w:spacing w:line="300" w:lineRule="exact"/>
                    <w:ind w:firstLine="0" w:firstLineChars="0"/>
                    <w:jc w:val="center"/>
                    <w:rPr>
                      <w:rFonts w:hint="eastAsia"/>
                      <w:color w:val="auto"/>
                      <w:sz w:val="21"/>
                      <w:szCs w:val="21"/>
                      <w:lang w:val="zh-CN"/>
                    </w:rPr>
                  </w:pPr>
                </w:p>
              </w:tc>
              <w:tc>
                <w:tcPr>
                  <w:tcW w:w="808" w:type="pct"/>
                  <w:tcBorders>
                    <w:tl2br w:val="nil"/>
                    <w:tr2bl w:val="nil"/>
                  </w:tcBorders>
                  <w:noWrap/>
                  <w:vAlign w:val="center"/>
                </w:tcPr>
                <w:p w14:paraId="18A4B94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废气</w:t>
                  </w:r>
                </w:p>
              </w:tc>
              <w:tc>
                <w:tcPr>
                  <w:tcW w:w="3617" w:type="pct"/>
                  <w:tcBorders>
                    <w:tl2br w:val="nil"/>
                    <w:tr2bl w:val="nil"/>
                  </w:tcBorders>
                  <w:noWrap/>
                  <w:vAlign w:val="center"/>
                </w:tcPr>
                <w:p w14:paraId="5FBD68F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施工道路洒水降尘；土方遮盖；运输车辆密闭；施工出入口设冲洗平台。</w:t>
                  </w:r>
                </w:p>
              </w:tc>
            </w:tr>
            <w:tr w14:paraId="14BA72C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73" w:type="pct"/>
                  <w:vMerge w:val="continue"/>
                  <w:tcBorders>
                    <w:tl2br w:val="nil"/>
                    <w:tr2bl w:val="nil"/>
                  </w:tcBorders>
                  <w:noWrap/>
                  <w:vAlign w:val="center"/>
                </w:tcPr>
                <w:p w14:paraId="7154B8E9">
                  <w:pPr>
                    <w:spacing w:line="300" w:lineRule="exact"/>
                    <w:ind w:firstLine="0" w:firstLineChars="0"/>
                    <w:jc w:val="center"/>
                    <w:rPr>
                      <w:rFonts w:hint="eastAsia"/>
                      <w:color w:val="auto"/>
                      <w:sz w:val="21"/>
                      <w:szCs w:val="21"/>
                      <w:lang w:val="zh-CN"/>
                    </w:rPr>
                  </w:pPr>
                </w:p>
              </w:tc>
              <w:tc>
                <w:tcPr>
                  <w:tcW w:w="808" w:type="pct"/>
                  <w:tcBorders>
                    <w:tl2br w:val="nil"/>
                    <w:tr2bl w:val="nil"/>
                  </w:tcBorders>
                  <w:noWrap/>
                  <w:vAlign w:val="center"/>
                </w:tcPr>
                <w:p w14:paraId="2FAFB9D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废水</w:t>
                  </w:r>
                </w:p>
              </w:tc>
              <w:tc>
                <w:tcPr>
                  <w:tcW w:w="3617" w:type="pct"/>
                  <w:tcBorders>
                    <w:tl2br w:val="nil"/>
                    <w:tr2bl w:val="nil"/>
                  </w:tcBorders>
                  <w:noWrap/>
                  <w:vAlign w:val="center"/>
                </w:tcPr>
                <w:p w14:paraId="6A1FA6D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管道试压废水经沉淀后排入雨水管；施工车辆冲洗水回用；生活污水依托现有设施处理。</w:t>
                  </w:r>
                </w:p>
              </w:tc>
            </w:tr>
            <w:tr w14:paraId="26E6AB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73" w:type="pct"/>
                  <w:vMerge w:val="continue"/>
                  <w:tcBorders>
                    <w:tl2br w:val="nil"/>
                    <w:tr2bl w:val="nil"/>
                  </w:tcBorders>
                  <w:noWrap/>
                  <w:vAlign w:val="center"/>
                </w:tcPr>
                <w:p w14:paraId="7FCB3B63">
                  <w:pPr>
                    <w:spacing w:line="300" w:lineRule="exact"/>
                    <w:ind w:firstLine="0" w:firstLineChars="0"/>
                    <w:jc w:val="center"/>
                    <w:rPr>
                      <w:rFonts w:hint="eastAsia"/>
                      <w:color w:val="auto"/>
                      <w:sz w:val="21"/>
                      <w:szCs w:val="21"/>
                      <w:lang w:val="zh-CN"/>
                    </w:rPr>
                  </w:pPr>
                </w:p>
              </w:tc>
              <w:tc>
                <w:tcPr>
                  <w:tcW w:w="808" w:type="pct"/>
                  <w:tcBorders>
                    <w:tl2br w:val="nil"/>
                    <w:tr2bl w:val="nil"/>
                  </w:tcBorders>
                  <w:noWrap/>
                  <w:vAlign w:val="center"/>
                </w:tcPr>
                <w:p w14:paraId="24D5DE8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噪声</w:t>
                  </w:r>
                </w:p>
              </w:tc>
              <w:tc>
                <w:tcPr>
                  <w:tcW w:w="3617" w:type="pct"/>
                  <w:tcBorders>
                    <w:tl2br w:val="nil"/>
                    <w:tr2bl w:val="nil"/>
                  </w:tcBorders>
                  <w:noWrap/>
                  <w:vAlign w:val="center"/>
                </w:tcPr>
                <w:p w14:paraId="1207E05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选用低噪声机械；昼间施工，临近敏感点采取临时隔声措施；泵站设备选型低噪声并设减振基础。</w:t>
                  </w:r>
                </w:p>
              </w:tc>
            </w:tr>
            <w:tr w14:paraId="6600AFC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73" w:type="pct"/>
                  <w:vMerge w:val="continue"/>
                  <w:tcBorders>
                    <w:tl2br w:val="nil"/>
                    <w:tr2bl w:val="nil"/>
                  </w:tcBorders>
                  <w:noWrap/>
                  <w:vAlign w:val="center"/>
                </w:tcPr>
                <w:p w14:paraId="57AC3447">
                  <w:pPr>
                    <w:spacing w:line="300" w:lineRule="exact"/>
                    <w:ind w:firstLine="0" w:firstLineChars="0"/>
                    <w:jc w:val="center"/>
                    <w:rPr>
                      <w:rFonts w:hint="eastAsia"/>
                      <w:color w:val="auto"/>
                      <w:sz w:val="21"/>
                      <w:szCs w:val="21"/>
                      <w:lang w:val="zh-CN"/>
                    </w:rPr>
                  </w:pPr>
                </w:p>
              </w:tc>
              <w:tc>
                <w:tcPr>
                  <w:tcW w:w="808" w:type="pct"/>
                  <w:tcBorders>
                    <w:tl2br w:val="nil"/>
                    <w:tr2bl w:val="nil"/>
                  </w:tcBorders>
                  <w:noWrap/>
                  <w:vAlign w:val="center"/>
                </w:tcPr>
                <w:p w14:paraId="23DB7A9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固废</w:t>
                  </w:r>
                </w:p>
              </w:tc>
              <w:tc>
                <w:tcPr>
                  <w:tcW w:w="3617" w:type="pct"/>
                  <w:tcBorders>
                    <w:tl2br w:val="nil"/>
                    <w:tr2bl w:val="nil"/>
                  </w:tcBorders>
                  <w:noWrap/>
                  <w:vAlign w:val="center"/>
                </w:tcPr>
                <w:p w14:paraId="64A6E11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default" w:ascii="宋体" w:hAnsi="宋体" w:cs="宋体"/>
                      <w:color w:val="auto"/>
                      <w:sz w:val="21"/>
                      <w:szCs w:val="21"/>
                      <w:lang w:val="en-US" w:eastAsia="zh-CN"/>
                    </w:rPr>
                  </w:pPr>
                  <w:r>
                    <w:rPr>
                      <w:rFonts w:hint="eastAsia" w:ascii="宋体" w:hAnsi="宋体" w:cs="宋体"/>
                      <w:color w:val="auto"/>
                      <w:sz w:val="21"/>
                      <w:szCs w:val="21"/>
                      <w:lang w:eastAsia="zh-CN"/>
                    </w:rPr>
                    <w:t>废弃土石方尽量回填，多余弃渣运至消纳场；废包装、生活垃圾集中收集交环卫处理；设备维修由专业公司负责（含处置固废）。</w:t>
                  </w:r>
                </w:p>
              </w:tc>
            </w:tr>
            <w:tr w14:paraId="1FB0AA9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73" w:type="pct"/>
                  <w:vMerge w:val="continue"/>
                  <w:tcBorders>
                    <w:tl2br w:val="nil"/>
                    <w:tr2bl w:val="nil"/>
                  </w:tcBorders>
                  <w:noWrap/>
                  <w:vAlign w:val="center"/>
                </w:tcPr>
                <w:p w14:paraId="1D983A87">
                  <w:pPr>
                    <w:spacing w:line="300" w:lineRule="exact"/>
                    <w:ind w:firstLine="0" w:firstLineChars="0"/>
                    <w:jc w:val="center"/>
                    <w:rPr>
                      <w:rFonts w:hint="eastAsia"/>
                      <w:color w:val="auto"/>
                      <w:sz w:val="21"/>
                      <w:szCs w:val="21"/>
                      <w:lang w:val="zh-CN"/>
                    </w:rPr>
                  </w:pPr>
                </w:p>
              </w:tc>
              <w:tc>
                <w:tcPr>
                  <w:tcW w:w="808" w:type="pct"/>
                  <w:tcBorders>
                    <w:tl2br w:val="nil"/>
                    <w:tr2bl w:val="nil"/>
                  </w:tcBorders>
                  <w:noWrap/>
                  <w:vAlign w:val="center"/>
                </w:tcPr>
                <w:p w14:paraId="78FDE98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环境管理</w:t>
                  </w:r>
                </w:p>
              </w:tc>
              <w:tc>
                <w:tcPr>
                  <w:tcW w:w="3617" w:type="pct"/>
                  <w:tcBorders>
                    <w:tl2br w:val="nil"/>
                    <w:tr2bl w:val="nil"/>
                  </w:tcBorders>
                  <w:noWrap/>
                  <w:vAlign w:val="center"/>
                </w:tcPr>
                <w:p w14:paraId="56BE81F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eastAsia" w:ascii="宋体" w:hAnsi="宋体" w:cs="宋体"/>
                      <w:color w:val="auto"/>
                      <w:sz w:val="21"/>
                      <w:szCs w:val="21"/>
                      <w:lang w:eastAsia="zh-CN"/>
                    </w:rPr>
                  </w:pPr>
                  <w:r>
                    <w:rPr>
                      <w:rFonts w:hint="eastAsia" w:ascii="宋体" w:hAnsi="宋体" w:cs="宋体"/>
                      <w:color w:val="auto"/>
                      <w:sz w:val="21"/>
                      <w:szCs w:val="21"/>
                      <w:lang w:eastAsia="zh-CN"/>
                    </w:rPr>
                    <w:t>加强施工期环境监理，落实环保措施。</w:t>
                  </w:r>
                </w:p>
              </w:tc>
            </w:tr>
          </w:tbl>
          <w:p w14:paraId="059A9BBC">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cs="宋体"/>
                <w:b/>
                <w:bCs/>
                <w:color w:val="auto"/>
                <w:sz w:val="24"/>
                <w:szCs w:val="24"/>
                <w:lang w:eastAsia="zh-CN"/>
              </w:rPr>
            </w:pPr>
            <w:r>
              <w:rPr>
                <w:rFonts w:hint="eastAsia" w:ascii="宋体" w:hAnsi="宋体" w:cs="宋体"/>
                <w:b/>
                <w:bCs/>
                <w:color w:val="auto"/>
                <w:sz w:val="24"/>
                <w:szCs w:val="24"/>
                <w:lang w:val="en-US" w:eastAsia="zh-CN"/>
              </w:rPr>
              <w:t>3、</w:t>
            </w:r>
            <w:r>
              <w:rPr>
                <w:rFonts w:hint="eastAsia" w:ascii="宋体" w:hAnsi="宋体" w:cs="宋体"/>
                <w:b/>
                <w:bCs/>
                <w:color w:val="auto"/>
                <w:sz w:val="24"/>
                <w:szCs w:val="24"/>
                <w:lang w:eastAsia="zh-CN"/>
              </w:rPr>
              <w:t>项目原辅料</w:t>
            </w:r>
          </w:p>
          <w:p w14:paraId="08057078">
            <w:pPr>
              <w:pStyle w:val="19"/>
              <w:keepNext/>
              <w:keepLines w:val="0"/>
              <w:pageBreakBefore w:val="0"/>
              <w:widowControl w:val="0"/>
              <w:kinsoku/>
              <w:wordWrap/>
              <w:overflowPunct/>
              <w:topLinePunct w:val="0"/>
              <w:autoSpaceDE/>
              <w:autoSpaceDN/>
              <w:bidi w:val="0"/>
              <w:adjustRightInd/>
              <w:snapToGrid/>
              <w:spacing w:before="0"/>
              <w:textAlignment w:val="auto"/>
              <w:rPr>
                <w:rFonts w:hint="eastAsia"/>
                <w:b w:val="0"/>
                <w:bCs/>
                <w:lang w:val="en-US" w:eastAsia="zh-CN"/>
              </w:rPr>
            </w:pPr>
            <w:r>
              <w:rPr>
                <w:rFonts w:hint="eastAsia"/>
                <w:b w:val="0"/>
                <w:bCs/>
                <w:lang w:val="en-US" w:eastAsia="zh-CN"/>
              </w:rPr>
              <w:t>表2-7  防洪排涝工程主要原辅料情况表</w:t>
            </w:r>
          </w:p>
          <w:tbl>
            <w:tblPr>
              <w:tblStyle w:val="9"/>
              <w:tblW w:w="7937"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685"/>
              <w:gridCol w:w="1337"/>
              <w:gridCol w:w="2613"/>
              <w:gridCol w:w="1069"/>
              <w:gridCol w:w="2233"/>
            </w:tblGrid>
            <w:tr w14:paraId="78EF822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685" w:type="dxa"/>
                  <w:tcBorders>
                    <w:tl2br w:val="nil"/>
                    <w:tr2bl w:val="nil"/>
                  </w:tcBorders>
                  <w:shd w:val="clear" w:color="auto" w:fill="auto"/>
                  <w:vAlign w:val="center"/>
                </w:tcPr>
                <w:p w14:paraId="1D8932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类别</w:t>
                  </w:r>
                </w:p>
              </w:tc>
              <w:tc>
                <w:tcPr>
                  <w:tcW w:w="1337" w:type="dxa"/>
                  <w:tcBorders>
                    <w:tl2br w:val="nil"/>
                    <w:tr2bl w:val="nil"/>
                  </w:tcBorders>
                  <w:shd w:val="clear" w:color="auto" w:fill="auto"/>
                  <w:vAlign w:val="center"/>
                </w:tcPr>
                <w:p w14:paraId="000829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名称</w:t>
                  </w:r>
                </w:p>
              </w:tc>
              <w:tc>
                <w:tcPr>
                  <w:tcW w:w="2613" w:type="dxa"/>
                  <w:tcBorders>
                    <w:tl2br w:val="nil"/>
                    <w:tr2bl w:val="nil"/>
                  </w:tcBorders>
                  <w:shd w:val="clear" w:color="auto" w:fill="auto"/>
                  <w:vAlign w:val="center"/>
                </w:tcPr>
                <w:p w14:paraId="08E6D4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成份及形态</w:t>
                  </w:r>
                </w:p>
              </w:tc>
              <w:tc>
                <w:tcPr>
                  <w:tcW w:w="1069" w:type="dxa"/>
                  <w:tcBorders>
                    <w:tl2br w:val="nil"/>
                    <w:tr2bl w:val="nil"/>
                  </w:tcBorders>
                  <w:shd w:val="clear" w:color="auto" w:fill="auto"/>
                  <w:vAlign w:val="center"/>
                </w:tcPr>
                <w:p w14:paraId="24E72B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数量</w:t>
                  </w:r>
                </w:p>
              </w:tc>
              <w:tc>
                <w:tcPr>
                  <w:tcW w:w="2233" w:type="dxa"/>
                  <w:tcBorders>
                    <w:tl2br w:val="nil"/>
                    <w:tr2bl w:val="nil"/>
                  </w:tcBorders>
                  <w:shd w:val="clear" w:color="auto" w:fill="auto"/>
                  <w:vAlign w:val="center"/>
                </w:tcPr>
                <w:p w14:paraId="51E2C9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储存位置</w:t>
                  </w:r>
                </w:p>
              </w:tc>
            </w:tr>
            <w:tr w14:paraId="478D817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685" w:type="dxa"/>
                  <w:vMerge w:val="restart"/>
                  <w:tcBorders>
                    <w:tl2br w:val="nil"/>
                    <w:tr2bl w:val="nil"/>
                  </w:tcBorders>
                  <w:shd w:val="clear" w:color="auto" w:fill="auto"/>
                  <w:vAlign w:val="center"/>
                </w:tcPr>
                <w:p w14:paraId="24D3E3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原辅料</w:t>
                  </w:r>
                </w:p>
              </w:tc>
              <w:tc>
                <w:tcPr>
                  <w:tcW w:w="1337" w:type="dxa"/>
                  <w:tcBorders>
                    <w:tl2br w:val="nil"/>
                    <w:tr2bl w:val="nil"/>
                  </w:tcBorders>
                  <w:shd w:val="clear" w:color="auto" w:fill="auto"/>
                  <w:vAlign w:val="center"/>
                </w:tcPr>
                <w:p w14:paraId="7DC3C6A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商品混凝土</w:t>
                  </w:r>
                </w:p>
              </w:tc>
              <w:tc>
                <w:tcPr>
                  <w:tcW w:w="2613" w:type="dxa"/>
                  <w:tcBorders>
                    <w:tl2br w:val="nil"/>
                    <w:tr2bl w:val="nil"/>
                  </w:tcBorders>
                  <w:shd w:val="clear" w:color="auto" w:fill="auto"/>
                  <w:vAlign w:val="center"/>
                </w:tcPr>
                <w:p w14:paraId="4E6E07C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水泥、砂、石子混合物</w:t>
                  </w:r>
                </w:p>
              </w:tc>
              <w:tc>
                <w:tcPr>
                  <w:tcW w:w="1069" w:type="dxa"/>
                  <w:tcBorders>
                    <w:tl2br w:val="nil"/>
                    <w:tr2bl w:val="nil"/>
                  </w:tcBorders>
                  <w:shd w:val="clear" w:color="auto" w:fill="auto"/>
                  <w:vAlign w:val="center"/>
                </w:tcPr>
                <w:p w14:paraId="3E5F26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1460m³</w:t>
                  </w:r>
                </w:p>
              </w:tc>
              <w:tc>
                <w:tcPr>
                  <w:tcW w:w="2233" w:type="dxa"/>
                  <w:tcBorders>
                    <w:tl2br w:val="nil"/>
                    <w:tr2bl w:val="nil"/>
                  </w:tcBorders>
                  <w:shd w:val="clear" w:color="auto" w:fill="auto"/>
                  <w:vAlign w:val="center"/>
                </w:tcPr>
                <w:p w14:paraId="652078C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外购</w:t>
                  </w:r>
                </w:p>
              </w:tc>
            </w:tr>
            <w:tr w14:paraId="10B42BE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685" w:type="dxa"/>
                  <w:vMerge w:val="continue"/>
                  <w:tcBorders>
                    <w:tl2br w:val="nil"/>
                    <w:tr2bl w:val="nil"/>
                  </w:tcBorders>
                  <w:shd w:val="clear" w:color="auto" w:fill="auto"/>
                  <w:vAlign w:val="center"/>
                </w:tcPr>
                <w:p w14:paraId="1DD97570">
                  <w:pPr>
                    <w:jc w:val="center"/>
                    <w:rPr>
                      <w:rFonts w:hint="eastAsia" w:ascii="宋体" w:hAnsi="宋体" w:eastAsia="宋体" w:cs="宋体"/>
                      <w:i w:val="0"/>
                      <w:iCs w:val="0"/>
                      <w:color w:val="000000"/>
                      <w:sz w:val="22"/>
                      <w:szCs w:val="22"/>
                      <w:u w:val="none"/>
                    </w:rPr>
                  </w:pPr>
                </w:p>
              </w:tc>
              <w:tc>
                <w:tcPr>
                  <w:tcW w:w="1337" w:type="dxa"/>
                  <w:tcBorders>
                    <w:tl2br w:val="nil"/>
                    <w:tr2bl w:val="nil"/>
                  </w:tcBorders>
                  <w:shd w:val="clear" w:color="auto" w:fill="auto"/>
                  <w:vAlign w:val="center"/>
                </w:tcPr>
                <w:p w14:paraId="17D3AC2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钢筋</w:t>
                  </w:r>
                </w:p>
              </w:tc>
              <w:tc>
                <w:tcPr>
                  <w:tcW w:w="2613" w:type="dxa"/>
                  <w:tcBorders>
                    <w:tl2br w:val="nil"/>
                    <w:tr2bl w:val="nil"/>
                  </w:tcBorders>
                  <w:shd w:val="clear" w:color="auto" w:fill="auto"/>
                  <w:vAlign w:val="center"/>
                </w:tcPr>
                <w:p w14:paraId="06F5F8C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固态（HRB400/HPB300）</w:t>
                  </w:r>
                </w:p>
              </w:tc>
              <w:tc>
                <w:tcPr>
                  <w:tcW w:w="1069" w:type="dxa"/>
                  <w:tcBorders>
                    <w:tl2br w:val="nil"/>
                    <w:tr2bl w:val="nil"/>
                  </w:tcBorders>
                  <w:shd w:val="clear" w:color="auto" w:fill="auto"/>
                  <w:vAlign w:val="center"/>
                </w:tcPr>
                <w:p w14:paraId="652012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117t</w:t>
                  </w:r>
                </w:p>
              </w:tc>
              <w:tc>
                <w:tcPr>
                  <w:tcW w:w="2233" w:type="dxa"/>
                  <w:tcBorders>
                    <w:tl2br w:val="nil"/>
                    <w:tr2bl w:val="nil"/>
                  </w:tcBorders>
                  <w:shd w:val="clear" w:color="auto" w:fill="auto"/>
                  <w:vAlign w:val="center"/>
                </w:tcPr>
                <w:p w14:paraId="63780F4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外购定制，直接运入，不储存</w:t>
                  </w:r>
                </w:p>
              </w:tc>
            </w:tr>
            <w:tr w14:paraId="7E2942E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685" w:type="dxa"/>
                  <w:vMerge w:val="continue"/>
                  <w:tcBorders>
                    <w:tl2br w:val="nil"/>
                    <w:tr2bl w:val="nil"/>
                  </w:tcBorders>
                  <w:shd w:val="clear" w:color="auto" w:fill="auto"/>
                  <w:vAlign w:val="center"/>
                </w:tcPr>
                <w:p w14:paraId="57CA806A">
                  <w:pPr>
                    <w:jc w:val="center"/>
                    <w:rPr>
                      <w:rFonts w:hint="eastAsia" w:ascii="宋体" w:hAnsi="宋体" w:eastAsia="宋体" w:cs="宋体"/>
                      <w:i w:val="0"/>
                      <w:iCs w:val="0"/>
                      <w:color w:val="000000"/>
                      <w:sz w:val="22"/>
                      <w:szCs w:val="22"/>
                      <w:u w:val="none"/>
                    </w:rPr>
                  </w:pPr>
                </w:p>
              </w:tc>
              <w:tc>
                <w:tcPr>
                  <w:tcW w:w="1337" w:type="dxa"/>
                  <w:tcBorders>
                    <w:tl2br w:val="nil"/>
                    <w:tr2bl w:val="nil"/>
                  </w:tcBorders>
                  <w:shd w:val="clear" w:color="auto" w:fill="auto"/>
                  <w:vAlign w:val="center"/>
                </w:tcPr>
                <w:p w14:paraId="275B5DB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钢筋混凝土管（III级）</w:t>
                  </w:r>
                </w:p>
              </w:tc>
              <w:tc>
                <w:tcPr>
                  <w:tcW w:w="2613" w:type="dxa"/>
                  <w:tcBorders>
                    <w:tl2br w:val="nil"/>
                    <w:tr2bl w:val="nil"/>
                  </w:tcBorders>
                  <w:shd w:val="clear" w:color="auto" w:fill="auto"/>
                  <w:vAlign w:val="center"/>
                </w:tcPr>
                <w:p w14:paraId="7D99614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DN2600，承插口，固态</w:t>
                  </w:r>
                </w:p>
              </w:tc>
              <w:tc>
                <w:tcPr>
                  <w:tcW w:w="1069" w:type="dxa"/>
                  <w:tcBorders>
                    <w:tl2br w:val="nil"/>
                    <w:tr2bl w:val="nil"/>
                  </w:tcBorders>
                  <w:shd w:val="clear" w:color="auto" w:fill="auto"/>
                  <w:vAlign w:val="center"/>
                </w:tcPr>
                <w:p w14:paraId="45468E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1686m</w:t>
                  </w:r>
                </w:p>
              </w:tc>
              <w:tc>
                <w:tcPr>
                  <w:tcW w:w="2233" w:type="dxa"/>
                  <w:tcBorders>
                    <w:tl2br w:val="nil"/>
                    <w:tr2bl w:val="nil"/>
                  </w:tcBorders>
                  <w:shd w:val="clear" w:color="auto" w:fill="auto"/>
                  <w:vAlign w:val="center"/>
                </w:tcPr>
                <w:p w14:paraId="0EF6C34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外购定制，沿管线作业点</w:t>
                  </w:r>
                </w:p>
              </w:tc>
            </w:tr>
            <w:tr w14:paraId="3A502B5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685" w:type="dxa"/>
                  <w:vMerge w:val="continue"/>
                  <w:tcBorders>
                    <w:tl2br w:val="nil"/>
                    <w:tr2bl w:val="nil"/>
                  </w:tcBorders>
                  <w:shd w:val="clear" w:color="auto" w:fill="auto"/>
                  <w:vAlign w:val="center"/>
                </w:tcPr>
                <w:p w14:paraId="53901F87">
                  <w:pPr>
                    <w:jc w:val="center"/>
                    <w:rPr>
                      <w:rFonts w:hint="eastAsia" w:ascii="宋体" w:hAnsi="宋体" w:eastAsia="宋体" w:cs="宋体"/>
                      <w:i w:val="0"/>
                      <w:iCs w:val="0"/>
                      <w:color w:val="000000"/>
                      <w:sz w:val="22"/>
                      <w:szCs w:val="22"/>
                      <w:u w:val="none"/>
                    </w:rPr>
                  </w:pPr>
                </w:p>
              </w:tc>
              <w:tc>
                <w:tcPr>
                  <w:tcW w:w="1337" w:type="dxa"/>
                  <w:tcBorders>
                    <w:tl2br w:val="nil"/>
                    <w:tr2bl w:val="nil"/>
                  </w:tcBorders>
                  <w:shd w:val="clear" w:color="auto" w:fill="auto"/>
                  <w:vAlign w:val="center"/>
                </w:tcPr>
                <w:p w14:paraId="265852B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预制混凝土盖板</w:t>
                  </w:r>
                </w:p>
              </w:tc>
              <w:tc>
                <w:tcPr>
                  <w:tcW w:w="2613" w:type="dxa"/>
                  <w:tcBorders>
                    <w:tl2br w:val="nil"/>
                    <w:tr2bl w:val="nil"/>
                  </w:tcBorders>
                  <w:shd w:val="clear" w:color="auto" w:fill="auto"/>
                  <w:vAlign w:val="center"/>
                </w:tcPr>
                <w:p w14:paraId="5C1EAA2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固态（用于排水沟）</w:t>
                  </w:r>
                </w:p>
              </w:tc>
              <w:tc>
                <w:tcPr>
                  <w:tcW w:w="1069" w:type="dxa"/>
                  <w:tcBorders>
                    <w:tl2br w:val="nil"/>
                    <w:tr2bl w:val="nil"/>
                  </w:tcBorders>
                  <w:shd w:val="clear" w:color="auto" w:fill="auto"/>
                  <w:vAlign w:val="center"/>
                </w:tcPr>
                <w:p w14:paraId="4AF792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1110m</w:t>
                  </w:r>
                </w:p>
              </w:tc>
              <w:tc>
                <w:tcPr>
                  <w:tcW w:w="2233" w:type="dxa"/>
                  <w:tcBorders>
                    <w:tl2br w:val="nil"/>
                    <w:tr2bl w:val="nil"/>
                  </w:tcBorders>
                  <w:shd w:val="clear" w:color="auto" w:fill="auto"/>
                  <w:vAlign w:val="center"/>
                </w:tcPr>
                <w:p w14:paraId="0FB7EB7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外购定制，各工区作业点</w:t>
                  </w:r>
                </w:p>
              </w:tc>
            </w:tr>
            <w:tr w14:paraId="007A405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685" w:type="dxa"/>
                  <w:vMerge w:val="continue"/>
                  <w:tcBorders>
                    <w:tl2br w:val="nil"/>
                    <w:tr2bl w:val="nil"/>
                  </w:tcBorders>
                  <w:shd w:val="clear" w:color="auto" w:fill="auto"/>
                  <w:vAlign w:val="center"/>
                </w:tcPr>
                <w:p w14:paraId="1B3A022A">
                  <w:pPr>
                    <w:jc w:val="center"/>
                    <w:rPr>
                      <w:rFonts w:hint="eastAsia" w:ascii="宋体" w:hAnsi="宋体" w:eastAsia="宋体" w:cs="宋体"/>
                      <w:i w:val="0"/>
                      <w:iCs w:val="0"/>
                      <w:color w:val="000000"/>
                      <w:sz w:val="22"/>
                      <w:szCs w:val="22"/>
                      <w:u w:val="none"/>
                    </w:rPr>
                  </w:pPr>
                </w:p>
              </w:tc>
              <w:tc>
                <w:tcPr>
                  <w:tcW w:w="1337" w:type="dxa"/>
                  <w:tcBorders>
                    <w:tl2br w:val="nil"/>
                    <w:tr2bl w:val="nil"/>
                  </w:tcBorders>
                  <w:shd w:val="clear" w:color="auto" w:fill="auto"/>
                  <w:vAlign w:val="center"/>
                </w:tcPr>
                <w:p w14:paraId="7788E24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检查井井盖</w:t>
                  </w:r>
                </w:p>
              </w:tc>
              <w:tc>
                <w:tcPr>
                  <w:tcW w:w="2613" w:type="dxa"/>
                  <w:tcBorders>
                    <w:tl2br w:val="nil"/>
                    <w:tr2bl w:val="nil"/>
                  </w:tcBorders>
                  <w:shd w:val="clear" w:color="auto" w:fill="auto"/>
                  <w:vAlign w:val="center"/>
                </w:tcPr>
                <w:p w14:paraId="4360196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球墨铸铁，D400级</w:t>
                  </w:r>
                </w:p>
              </w:tc>
              <w:tc>
                <w:tcPr>
                  <w:tcW w:w="1069" w:type="dxa"/>
                  <w:tcBorders>
                    <w:tl2br w:val="nil"/>
                    <w:tr2bl w:val="nil"/>
                  </w:tcBorders>
                  <w:shd w:val="clear" w:color="auto" w:fill="auto"/>
                  <w:vAlign w:val="center"/>
                </w:tcPr>
                <w:p w14:paraId="678A2B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41套</w:t>
                  </w:r>
                </w:p>
              </w:tc>
              <w:tc>
                <w:tcPr>
                  <w:tcW w:w="2233" w:type="dxa"/>
                  <w:tcBorders>
                    <w:tl2br w:val="nil"/>
                    <w:tr2bl w:val="nil"/>
                  </w:tcBorders>
                  <w:shd w:val="clear" w:color="auto" w:fill="auto"/>
                  <w:vAlign w:val="center"/>
                </w:tcPr>
                <w:p w14:paraId="35C6CA6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外购，直接运入，不储存</w:t>
                  </w:r>
                </w:p>
              </w:tc>
            </w:tr>
            <w:tr w14:paraId="0E5A278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685" w:type="dxa"/>
                  <w:vMerge w:val="continue"/>
                  <w:tcBorders>
                    <w:tl2br w:val="nil"/>
                    <w:tr2bl w:val="nil"/>
                  </w:tcBorders>
                  <w:shd w:val="clear" w:color="auto" w:fill="auto"/>
                  <w:vAlign w:val="center"/>
                </w:tcPr>
                <w:p w14:paraId="0C052207">
                  <w:pPr>
                    <w:jc w:val="center"/>
                    <w:rPr>
                      <w:rFonts w:hint="eastAsia" w:ascii="宋体" w:hAnsi="宋体" w:eastAsia="宋体" w:cs="宋体"/>
                      <w:i w:val="0"/>
                      <w:iCs w:val="0"/>
                      <w:color w:val="000000"/>
                      <w:sz w:val="22"/>
                      <w:szCs w:val="22"/>
                      <w:u w:val="none"/>
                    </w:rPr>
                  </w:pPr>
                </w:p>
              </w:tc>
              <w:tc>
                <w:tcPr>
                  <w:tcW w:w="1337" w:type="dxa"/>
                  <w:tcBorders>
                    <w:tl2br w:val="nil"/>
                    <w:tr2bl w:val="nil"/>
                  </w:tcBorders>
                  <w:shd w:val="clear" w:color="auto" w:fill="auto"/>
                  <w:vAlign w:val="center"/>
                </w:tcPr>
                <w:p w14:paraId="1C8F980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雨水箅子</w:t>
                  </w:r>
                </w:p>
              </w:tc>
              <w:tc>
                <w:tcPr>
                  <w:tcW w:w="2613" w:type="dxa"/>
                  <w:tcBorders>
                    <w:tl2br w:val="nil"/>
                    <w:tr2bl w:val="nil"/>
                  </w:tcBorders>
                  <w:shd w:val="clear" w:color="auto" w:fill="auto"/>
                  <w:vAlign w:val="center"/>
                </w:tcPr>
                <w:p w14:paraId="1D93A15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球墨铸铁</w:t>
                  </w:r>
                </w:p>
              </w:tc>
              <w:tc>
                <w:tcPr>
                  <w:tcW w:w="1069" w:type="dxa"/>
                  <w:tcBorders>
                    <w:tl2br w:val="nil"/>
                    <w:tr2bl w:val="nil"/>
                  </w:tcBorders>
                  <w:shd w:val="clear" w:color="auto" w:fill="auto"/>
                  <w:vAlign w:val="center"/>
                </w:tcPr>
                <w:p w14:paraId="1D8788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若干</w:t>
                  </w:r>
                </w:p>
              </w:tc>
              <w:tc>
                <w:tcPr>
                  <w:tcW w:w="2233" w:type="dxa"/>
                  <w:tcBorders>
                    <w:tl2br w:val="nil"/>
                    <w:tr2bl w:val="nil"/>
                  </w:tcBorders>
                  <w:shd w:val="clear" w:color="auto" w:fill="auto"/>
                  <w:vAlign w:val="center"/>
                </w:tcPr>
                <w:p w14:paraId="222B294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外购，直接运入，不储存</w:t>
                  </w:r>
                </w:p>
              </w:tc>
            </w:tr>
            <w:tr w14:paraId="617C883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685" w:type="dxa"/>
                  <w:vMerge w:val="continue"/>
                  <w:tcBorders>
                    <w:tl2br w:val="nil"/>
                    <w:tr2bl w:val="nil"/>
                  </w:tcBorders>
                  <w:shd w:val="clear" w:color="auto" w:fill="auto"/>
                  <w:vAlign w:val="center"/>
                </w:tcPr>
                <w:p w14:paraId="464E8A30">
                  <w:pPr>
                    <w:jc w:val="center"/>
                    <w:rPr>
                      <w:rFonts w:hint="eastAsia" w:ascii="宋体" w:hAnsi="宋体" w:eastAsia="宋体" w:cs="宋体"/>
                      <w:i w:val="0"/>
                      <w:iCs w:val="0"/>
                      <w:color w:val="000000"/>
                      <w:sz w:val="22"/>
                      <w:szCs w:val="22"/>
                      <w:u w:val="none"/>
                    </w:rPr>
                  </w:pPr>
                </w:p>
              </w:tc>
              <w:tc>
                <w:tcPr>
                  <w:tcW w:w="1337" w:type="dxa"/>
                  <w:tcBorders>
                    <w:tl2br w:val="nil"/>
                    <w:tr2bl w:val="nil"/>
                  </w:tcBorders>
                  <w:shd w:val="clear" w:color="auto" w:fill="auto"/>
                  <w:vAlign w:val="center"/>
                </w:tcPr>
                <w:p w14:paraId="1653404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水泥</w:t>
                  </w:r>
                </w:p>
              </w:tc>
              <w:tc>
                <w:tcPr>
                  <w:tcW w:w="2613" w:type="dxa"/>
                  <w:tcBorders>
                    <w:tl2br w:val="nil"/>
                    <w:tr2bl w:val="nil"/>
                  </w:tcBorders>
                  <w:shd w:val="clear" w:color="auto" w:fill="auto"/>
                  <w:vAlign w:val="center"/>
                </w:tcPr>
                <w:p w14:paraId="2791E2A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袋装，固态（用于井室、沟缝等）</w:t>
                  </w:r>
                </w:p>
              </w:tc>
              <w:tc>
                <w:tcPr>
                  <w:tcW w:w="1069" w:type="dxa"/>
                  <w:tcBorders>
                    <w:tl2br w:val="nil"/>
                    <w:tr2bl w:val="nil"/>
                  </w:tcBorders>
                  <w:shd w:val="clear" w:color="auto" w:fill="auto"/>
                  <w:vAlign w:val="center"/>
                </w:tcPr>
                <w:p w14:paraId="199BB4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80t</w:t>
                  </w:r>
                </w:p>
              </w:tc>
              <w:tc>
                <w:tcPr>
                  <w:tcW w:w="2233" w:type="dxa"/>
                  <w:tcBorders>
                    <w:tl2br w:val="nil"/>
                    <w:tr2bl w:val="nil"/>
                  </w:tcBorders>
                  <w:shd w:val="clear" w:color="auto" w:fill="auto"/>
                  <w:vAlign w:val="center"/>
                </w:tcPr>
                <w:p w14:paraId="73879B8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外购，直接运入，不储存</w:t>
                  </w:r>
                </w:p>
              </w:tc>
            </w:tr>
            <w:tr w14:paraId="0BCCB52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685" w:type="dxa"/>
                  <w:vMerge w:val="continue"/>
                  <w:tcBorders>
                    <w:tl2br w:val="nil"/>
                    <w:tr2bl w:val="nil"/>
                  </w:tcBorders>
                  <w:shd w:val="clear" w:color="auto" w:fill="auto"/>
                  <w:vAlign w:val="center"/>
                </w:tcPr>
                <w:p w14:paraId="0A53D3C5">
                  <w:pPr>
                    <w:jc w:val="center"/>
                    <w:rPr>
                      <w:rFonts w:hint="eastAsia" w:ascii="宋体" w:hAnsi="宋体" w:eastAsia="宋体" w:cs="宋体"/>
                      <w:i w:val="0"/>
                      <w:iCs w:val="0"/>
                      <w:color w:val="000000"/>
                      <w:sz w:val="22"/>
                      <w:szCs w:val="22"/>
                      <w:u w:val="none"/>
                    </w:rPr>
                  </w:pPr>
                </w:p>
              </w:tc>
              <w:tc>
                <w:tcPr>
                  <w:tcW w:w="1337" w:type="dxa"/>
                  <w:tcBorders>
                    <w:tl2br w:val="nil"/>
                    <w:tr2bl w:val="nil"/>
                  </w:tcBorders>
                  <w:shd w:val="clear" w:color="auto" w:fill="auto"/>
                  <w:vAlign w:val="center"/>
                </w:tcPr>
                <w:p w14:paraId="696A82E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中粗砂</w:t>
                  </w:r>
                </w:p>
              </w:tc>
              <w:tc>
                <w:tcPr>
                  <w:tcW w:w="2613" w:type="dxa"/>
                  <w:tcBorders>
                    <w:tl2br w:val="nil"/>
                    <w:tr2bl w:val="nil"/>
                  </w:tcBorders>
                  <w:shd w:val="clear" w:color="auto" w:fill="auto"/>
                  <w:vAlign w:val="center"/>
                </w:tcPr>
                <w:p w14:paraId="396E399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散装，固态（管道基础）</w:t>
                  </w:r>
                </w:p>
              </w:tc>
              <w:tc>
                <w:tcPr>
                  <w:tcW w:w="1069" w:type="dxa"/>
                  <w:tcBorders>
                    <w:tl2br w:val="nil"/>
                    <w:tr2bl w:val="nil"/>
                  </w:tcBorders>
                  <w:shd w:val="clear" w:color="auto" w:fill="auto"/>
                  <w:vAlign w:val="center"/>
                </w:tcPr>
                <w:p w14:paraId="2ADEEE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2000m³</w:t>
                  </w:r>
                </w:p>
              </w:tc>
              <w:tc>
                <w:tcPr>
                  <w:tcW w:w="2233" w:type="dxa"/>
                  <w:tcBorders>
                    <w:tl2br w:val="nil"/>
                    <w:tr2bl w:val="nil"/>
                  </w:tcBorders>
                  <w:shd w:val="clear" w:color="auto" w:fill="auto"/>
                  <w:vAlign w:val="center"/>
                </w:tcPr>
                <w:p w14:paraId="336E50A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外购，直接运入，不储存</w:t>
                  </w:r>
                </w:p>
              </w:tc>
            </w:tr>
            <w:tr w14:paraId="341ABB2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685" w:type="dxa"/>
                  <w:vMerge w:val="continue"/>
                  <w:tcBorders>
                    <w:tl2br w:val="nil"/>
                    <w:tr2bl w:val="nil"/>
                  </w:tcBorders>
                  <w:shd w:val="clear" w:color="auto" w:fill="auto"/>
                  <w:vAlign w:val="center"/>
                </w:tcPr>
                <w:p w14:paraId="374F2CDE">
                  <w:pPr>
                    <w:jc w:val="center"/>
                    <w:rPr>
                      <w:rFonts w:hint="eastAsia" w:ascii="宋体" w:hAnsi="宋体" w:eastAsia="宋体" w:cs="宋体"/>
                      <w:i w:val="0"/>
                      <w:iCs w:val="0"/>
                      <w:color w:val="000000"/>
                      <w:sz w:val="22"/>
                      <w:szCs w:val="22"/>
                      <w:u w:val="none"/>
                    </w:rPr>
                  </w:pPr>
                </w:p>
              </w:tc>
              <w:tc>
                <w:tcPr>
                  <w:tcW w:w="1337" w:type="dxa"/>
                  <w:tcBorders>
                    <w:tl2br w:val="nil"/>
                    <w:tr2bl w:val="nil"/>
                  </w:tcBorders>
                  <w:shd w:val="clear" w:color="auto" w:fill="auto"/>
                  <w:vAlign w:val="center"/>
                </w:tcPr>
                <w:p w14:paraId="164CAF9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碎石</w:t>
                  </w:r>
                </w:p>
              </w:tc>
              <w:tc>
                <w:tcPr>
                  <w:tcW w:w="2613" w:type="dxa"/>
                  <w:tcBorders>
                    <w:tl2br w:val="nil"/>
                    <w:tr2bl w:val="nil"/>
                  </w:tcBorders>
                  <w:shd w:val="clear" w:color="auto" w:fill="auto"/>
                  <w:vAlign w:val="center"/>
                </w:tcPr>
                <w:p w14:paraId="5223876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散装，固态（管道基础）</w:t>
                  </w:r>
                </w:p>
              </w:tc>
              <w:tc>
                <w:tcPr>
                  <w:tcW w:w="1069" w:type="dxa"/>
                  <w:tcBorders>
                    <w:tl2br w:val="nil"/>
                    <w:tr2bl w:val="nil"/>
                  </w:tcBorders>
                  <w:shd w:val="clear" w:color="auto" w:fill="auto"/>
                  <w:vAlign w:val="center"/>
                </w:tcPr>
                <w:p w14:paraId="46335C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1500m³</w:t>
                  </w:r>
                </w:p>
              </w:tc>
              <w:tc>
                <w:tcPr>
                  <w:tcW w:w="2233" w:type="dxa"/>
                  <w:tcBorders>
                    <w:tl2br w:val="nil"/>
                    <w:tr2bl w:val="nil"/>
                  </w:tcBorders>
                  <w:shd w:val="clear" w:color="auto" w:fill="auto"/>
                  <w:vAlign w:val="center"/>
                </w:tcPr>
                <w:p w14:paraId="1DDBF8D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外购，直接运入，不储存</w:t>
                  </w:r>
                </w:p>
              </w:tc>
            </w:tr>
            <w:tr w14:paraId="0CDF7B8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685" w:type="dxa"/>
                  <w:vMerge w:val="restart"/>
                  <w:tcBorders>
                    <w:tl2br w:val="nil"/>
                    <w:tr2bl w:val="nil"/>
                  </w:tcBorders>
                  <w:shd w:val="clear" w:color="auto" w:fill="auto"/>
                  <w:vAlign w:val="center"/>
                </w:tcPr>
                <w:p w14:paraId="21A3FB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能源</w:t>
                  </w:r>
                </w:p>
              </w:tc>
              <w:tc>
                <w:tcPr>
                  <w:tcW w:w="1337" w:type="dxa"/>
                  <w:tcBorders>
                    <w:tl2br w:val="nil"/>
                    <w:tr2bl w:val="nil"/>
                  </w:tcBorders>
                  <w:shd w:val="clear" w:color="auto" w:fill="auto"/>
                  <w:vAlign w:val="center"/>
                </w:tcPr>
                <w:p w14:paraId="1CF8182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柴油</w:t>
                  </w:r>
                </w:p>
              </w:tc>
              <w:tc>
                <w:tcPr>
                  <w:tcW w:w="2613" w:type="dxa"/>
                  <w:tcBorders>
                    <w:tl2br w:val="nil"/>
                    <w:tr2bl w:val="nil"/>
                  </w:tcBorders>
                  <w:shd w:val="clear" w:color="auto" w:fill="auto"/>
                  <w:vAlign w:val="center"/>
                </w:tcPr>
                <w:p w14:paraId="1079DC1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液态（施工机械、顶管设备）</w:t>
                  </w:r>
                </w:p>
              </w:tc>
              <w:tc>
                <w:tcPr>
                  <w:tcW w:w="1069" w:type="dxa"/>
                  <w:tcBorders>
                    <w:tl2br w:val="nil"/>
                    <w:tr2bl w:val="nil"/>
                  </w:tcBorders>
                  <w:shd w:val="clear" w:color="auto" w:fill="auto"/>
                  <w:vAlign w:val="center"/>
                </w:tcPr>
                <w:p w14:paraId="1E326D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60t</w:t>
                  </w:r>
                </w:p>
              </w:tc>
              <w:tc>
                <w:tcPr>
                  <w:tcW w:w="2233" w:type="dxa"/>
                  <w:tcBorders>
                    <w:tl2br w:val="nil"/>
                    <w:tr2bl w:val="nil"/>
                  </w:tcBorders>
                  <w:shd w:val="clear" w:color="auto" w:fill="auto"/>
                  <w:vAlign w:val="center"/>
                </w:tcPr>
                <w:p w14:paraId="7CCFC2B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就近加油站外购，不储存</w:t>
                  </w:r>
                </w:p>
              </w:tc>
            </w:tr>
            <w:tr w14:paraId="3A54A38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685" w:type="dxa"/>
                  <w:vMerge w:val="continue"/>
                  <w:tcBorders>
                    <w:tl2br w:val="nil"/>
                    <w:tr2bl w:val="nil"/>
                  </w:tcBorders>
                  <w:shd w:val="clear" w:color="auto" w:fill="auto"/>
                  <w:vAlign w:val="center"/>
                </w:tcPr>
                <w:p w14:paraId="28172C17">
                  <w:pPr>
                    <w:jc w:val="center"/>
                    <w:rPr>
                      <w:rFonts w:hint="eastAsia" w:ascii="宋体" w:hAnsi="宋体" w:eastAsia="宋体" w:cs="宋体"/>
                      <w:i w:val="0"/>
                      <w:iCs w:val="0"/>
                      <w:color w:val="000000"/>
                      <w:sz w:val="22"/>
                      <w:szCs w:val="22"/>
                      <w:u w:val="none"/>
                    </w:rPr>
                  </w:pPr>
                </w:p>
              </w:tc>
              <w:tc>
                <w:tcPr>
                  <w:tcW w:w="1337" w:type="dxa"/>
                  <w:tcBorders>
                    <w:tl2br w:val="nil"/>
                    <w:tr2bl w:val="nil"/>
                  </w:tcBorders>
                  <w:shd w:val="clear" w:color="auto" w:fill="auto"/>
                  <w:vAlign w:val="center"/>
                </w:tcPr>
                <w:p w14:paraId="5327A05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汽油</w:t>
                  </w:r>
                </w:p>
              </w:tc>
              <w:tc>
                <w:tcPr>
                  <w:tcW w:w="2613" w:type="dxa"/>
                  <w:tcBorders>
                    <w:tl2br w:val="nil"/>
                    <w:tr2bl w:val="nil"/>
                  </w:tcBorders>
                  <w:shd w:val="clear" w:color="auto" w:fill="auto"/>
                  <w:vAlign w:val="center"/>
                </w:tcPr>
                <w:p w14:paraId="78FFB82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液态（小型机具、运输车辆）</w:t>
                  </w:r>
                </w:p>
              </w:tc>
              <w:tc>
                <w:tcPr>
                  <w:tcW w:w="1069" w:type="dxa"/>
                  <w:tcBorders>
                    <w:tl2br w:val="nil"/>
                    <w:tr2bl w:val="nil"/>
                  </w:tcBorders>
                  <w:shd w:val="clear" w:color="auto" w:fill="auto"/>
                  <w:vAlign w:val="center"/>
                </w:tcPr>
                <w:p w14:paraId="0A6C31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15t</w:t>
                  </w:r>
                </w:p>
              </w:tc>
              <w:tc>
                <w:tcPr>
                  <w:tcW w:w="2233" w:type="dxa"/>
                  <w:tcBorders>
                    <w:tl2br w:val="nil"/>
                    <w:tr2bl w:val="nil"/>
                  </w:tcBorders>
                  <w:shd w:val="clear" w:color="auto" w:fill="auto"/>
                  <w:vAlign w:val="center"/>
                </w:tcPr>
                <w:p w14:paraId="6EE7796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就近加油站外购，不储存</w:t>
                  </w:r>
                </w:p>
              </w:tc>
            </w:tr>
          </w:tbl>
          <w:p w14:paraId="20F8C3B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b/>
                <w:bCs/>
                <w:color w:val="auto"/>
                <w:sz w:val="24"/>
                <w:szCs w:val="24"/>
                <w:lang w:val="en-US" w:eastAsia="zh-CN"/>
              </w:rPr>
            </w:pPr>
          </w:p>
          <w:p w14:paraId="32B56938">
            <w:pPr>
              <w:pStyle w:val="19"/>
              <w:keepNext/>
              <w:keepLines w:val="0"/>
              <w:pageBreakBefore w:val="0"/>
              <w:widowControl w:val="0"/>
              <w:kinsoku/>
              <w:wordWrap/>
              <w:overflowPunct/>
              <w:topLinePunct w:val="0"/>
              <w:autoSpaceDE/>
              <w:autoSpaceDN/>
              <w:bidi w:val="0"/>
              <w:adjustRightInd/>
              <w:snapToGrid/>
              <w:spacing w:before="0"/>
              <w:textAlignment w:val="auto"/>
              <w:rPr>
                <w:rFonts w:hint="eastAsia"/>
                <w:b w:val="0"/>
                <w:bCs/>
                <w:lang w:val="en-US" w:eastAsia="zh-CN"/>
              </w:rPr>
            </w:pPr>
            <w:r>
              <w:rPr>
                <w:rFonts w:hint="eastAsia"/>
                <w:b w:val="0"/>
                <w:bCs/>
                <w:lang w:val="en-US" w:eastAsia="zh-CN"/>
              </w:rPr>
              <w:t>表2-8  给水工程主要原辅料情况表</w:t>
            </w:r>
          </w:p>
          <w:tbl>
            <w:tblPr>
              <w:tblStyle w:val="9"/>
              <w:tblW w:w="7937"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746"/>
              <w:gridCol w:w="1350"/>
              <w:gridCol w:w="2581"/>
              <w:gridCol w:w="1027"/>
              <w:gridCol w:w="2233"/>
            </w:tblGrid>
            <w:tr w14:paraId="077CF34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746" w:type="dxa"/>
                  <w:tcBorders>
                    <w:tl2br w:val="nil"/>
                    <w:tr2bl w:val="nil"/>
                  </w:tcBorders>
                  <w:shd w:val="clear" w:color="auto" w:fill="auto"/>
                  <w:vAlign w:val="center"/>
                </w:tcPr>
                <w:p w14:paraId="1B9D69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类别</w:t>
                  </w:r>
                </w:p>
              </w:tc>
              <w:tc>
                <w:tcPr>
                  <w:tcW w:w="1350" w:type="dxa"/>
                  <w:tcBorders>
                    <w:tl2br w:val="nil"/>
                    <w:tr2bl w:val="nil"/>
                  </w:tcBorders>
                  <w:shd w:val="clear" w:color="auto" w:fill="auto"/>
                  <w:vAlign w:val="center"/>
                </w:tcPr>
                <w:p w14:paraId="5397B4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名称</w:t>
                  </w:r>
                </w:p>
              </w:tc>
              <w:tc>
                <w:tcPr>
                  <w:tcW w:w="2581" w:type="dxa"/>
                  <w:tcBorders>
                    <w:tl2br w:val="nil"/>
                    <w:tr2bl w:val="nil"/>
                  </w:tcBorders>
                  <w:shd w:val="clear" w:color="auto" w:fill="auto"/>
                  <w:vAlign w:val="center"/>
                </w:tcPr>
                <w:p w14:paraId="764FC8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成份及形态</w:t>
                  </w:r>
                </w:p>
              </w:tc>
              <w:tc>
                <w:tcPr>
                  <w:tcW w:w="1027" w:type="dxa"/>
                  <w:tcBorders>
                    <w:tl2br w:val="nil"/>
                    <w:tr2bl w:val="nil"/>
                  </w:tcBorders>
                  <w:shd w:val="clear" w:color="auto" w:fill="auto"/>
                  <w:vAlign w:val="center"/>
                </w:tcPr>
                <w:p w14:paraId="091FD1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数量</w:t>
                  </w:r>
                </w:p>
              </w:tc>
              <w:tc>
                <w:tcPr>
                  <w:tcW w:w="2233" w:type="dxa"/>
                  <w:tcBorders>
                    <w:tl2br w:val="nil"/>
                    <w:tr2bl w:val="nil"/>
                  </w:tcBorders>
                  <w:shd w:val="clear" w:color="auto" w:fill="auto"/>
                  <w:vAlign w:val="center"/>
                </w:tcPr>
                <w:p w14:paraId="50B91B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储存位置</w:t>
                  </w:r>
                </w:p>
              </w:tc>
            </w:tr>
            <w:tr w14:paraId="56E0DA0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746" w:type="dxa"/>
                  <w:vMerge w:val="restart"/>
                  <w:tcBorders>
                    <w:tl2br w:val="nil"/>
                    <w:tr2bl w:val="nil"/>
                  </w:tcBorders>
                  <w:shd w:val="clear" w:color="auto" w:fill="auto"/>
                  <w:vAlign w:val="center"/>
                </w:tcPr>
                <w:p w14:paraId="01EA2D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原辅料</w:t>
                  </w:r>
                </w:p>
              </w:tc>
              <w:tc>
                <w:tcPr>
                  <w:tcW w:w="1350" w:type="dxa"/>
                  <w:tcBorders>
                    <w:tl2br w:val="nil"/>
                    <w:tr2bl w:val="nil"/>
                  </w:tcBorders>
                  <w:shd w:val="clear" w:color="auto" w:fill="auto"/>
                  <w:vAlign w:val="center"/>
                </w:tcPr>
                <w:p w14:paraId="04F6C80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商品混凝土</w:t>
                  </w:r>
                </w:p>
              </w:tc>
              <w:tc>
                <w:tcPr>
                  <w:tcW w:w="2581" w:type="dxa"/>
                  <w:tcBorders>
                    <w:tl2br w:val="nil"/>
                    <w:tr2bl w:val="nil"/>
                  </w:tcBorders>
                  <w:shd w:val="clear" w:color="auto" w:fill="auto"/>
                  <w:vAlign w:val="center"/>
                </w:tcPr>
                <w:p w14:paraId="4634B2F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水泥、砂、石子混合物</w:t>
                  </w:r>
                </w:p>
              </w:tc>
              <w:tc>
                <w:tcPr>
                  <w:tcW w:w="1027" w:type="dxa"/>
                  <w:tcBorders>
                    <w:tl2br w:val="nil"/>
                    <w:tr2bl w:val="nil"/>
                  </w:tcBorders>
                  <w:shd w:val="clear" w:color="auto" w:fill="auto"/>
                  <w:vAlign w:val="center"/>
                </w:tcPr>
                <w:p w14:paraId="337665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550m³</w:t>
                  </w:r>
                </w:p>
              </w:tc>
              <w:tc>
                <w:tcPr>
                  <w:tcW w:w="2233" w:type="dxa"/>
                  <w:tcBorders>
                    <w:tl2br w:val="nil"/>
                    <w:tr2bl w:val="nil"/>
                  </w:tcBorders>
                  <w:shd w:val="clear" w:color="auto" w:fill="auto"/>
                  <w:vAlign w:val="center"/>
                </w:tcPr>
                <w:p w14:paraId="1E8870A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外购</w:t>
                  </w:r>
                </w:p>
              </w:tc>
            </w:tr>
            <w:tr w14:paraId="2AFCFFC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746" w:type="dxa"/>
                  <w:vMerge w:val="continue"/>
                  <w:tcBorders>
                    <w:tl2br w:val="nil"/>
                    <w:tr2bl w:val="nil"/>
                  </w:tcBorders>
                  <w:shd w:val="clear" w:color="auto" w:fill="auto"/>
                  <w:vAlign w:val="center"/>
                </w:tcPr>
                <w:p w14:paraId="3FB00A8A">
                  <w:pPr>
                    <w:jc w:val="center"/>
                    <w:rPr>
                      <w:rFonts w:hint="eastAsia" w:ascii="宋体" w:hAnsi="宋体" w:eastAsia="宋体" w:cs="宋体"/>
                      <w:i w:val="0"/>
                      <w:iCs w:val="0"/>
                      <w:color w:val="000000"/>
                      <w:sz w:val="22"/>
                      <w:szCs w:val="22"/>
                      <w:u w:val="none"/>
                    </w:rPr>
                  </w:pPr>
                </w:p>
              </w:tc>
              <w:tc>
                <w:tcPr>
                  <w:tcW w:w="1350" w:type="dxa"/>
                  <w:tcBorders>
                    <w:tl2br w:val="nil"/>
                    <w:tr2bl w:val="nil"/>
                  </w:tcBorders>
                  <w:shd w:val="clear" w:color="auto" w:fill="auto"/>
                  <w:vAlign w:val="center"/>
                </w:tcPr>
                <w:p w14:paraId="67582F2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钢筋</w:t>
                  </w:r>
                </w:p>
              </w:tc>
              <w:tc>
                <w:tcPr>
                  <w:tcW w:w="2581" w:type="dxa"/>
                  <w:tcBorders>
                    <w:tl2br w:val="nil"/>
                    <w:tr2bl w:val="nil"/>
                  </w:tcBorders>
                  <w:shd w:val="clear" w:color="auto" w:fill="auto"/>
                  <w:vAlign w:val="center"/>
                </w:tcPr>
                <w:p w14:paraId="273AA06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固态（HRB400）</w:t>
                  </w:r>
                </w:p>
              </w:tc>
              <w:tc>
                <w:tcPr>
                  <w:tcW w:w="1027" w:type="dxa"/>
                  <w:tcBorders>
                    <w:tl2br w:val="nil"/>
                    <w:tr2bl w:val="nil"/>
                  </w:tcBorders>
                  <w:shd w:val="clear" w:color="auto" w:fill="auto"/>
                  <w:vAlign w:val="center"/>
                </w:tcPr>
                <w:p w14:paraId="667BAA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10t</w:t>
                  </w:r>
                </w:p>
              </w:tc>
              <w:tc>
                <w:tcPr>
                  <w:tcW w:w="2233" w:type="dxa"/>
                  <w:tcBorders>
                    <w:tl2br w:val="nil"/>
                    <w:tr2bl w:val="nil"/>
                  </w:tcBorders>
                  <w:shd w:val="clear" w:color="auto" w:fill="auto"/>
                  <w:vAlign w:val="center"/>
                </w:tcPr>
                <w:p w14:paraId="1A6D9CB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外购定制，直接运入，不储存</w:t>
                  </w:r>
                </w:p>
              </w:tc>
            </w:tr>
            <w:tr w14:paraId="0DA2BCC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746" w:type="dxa"/>
                  <w:vMerge w:val="continue"/>
                  <w:tcBorders>
                    <w:tl2br w:val="nil"/>
                    <w:tr2bl w:val="nil"/>
                  </w:tcBorders>
                  <w:shd w:val="clear" w:color="auto" w:fill="auto"/>
                  <w:vAlign w:val="center"/>
                </w:tcPr>
                <w:p w14:paraId="0E74690D">
                  <w:pPr>
                    <w:jc w:val="center"/>
                    <w:rPr>
                      <w:rFonts w:hint="eastAsia" w:ascii="宋体" w:hAnsi="宋体" w:eastAsia="宋体" w:cs="宋体"/>
                      <w:i w:val="0"/>
                      <w:iCs w:val="0"/>
                      <w:color w:val="000000"/>
                      <w:sz w:val="22"/>
                      <w:szCs w:val="22"/>
                      <w:u w:val="none"/>
                    </w:rPr>
                  </w:pPr>
                </w:p>
              </w:tc>
              <w:tc>
                <w:tcPr>
                  <w:tcW w:w="1350" w:type="dxa"/>
                  <w:tcBorders>
                    <w:tl2br w:val="nil"/>
                    <w:tr2bl w:val="nil"/>
                  </w:tcBorders>
                  <w:shd w:val="clear" w:color="auto" w:fill="auto"/>
                  <w:vAlign w:val="center"/>
                </w:tcPr>
                <w:p w14:paraId="532CD02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球墨铸铁管</w:t>
                  </w:r>
                </w:p>
              </w:tc>
              <w:tc>
                <w:tcPr>
                  <w:tcW w:w="2581" w:type="dxa"/>
                  <w:tcBorders>
                    <w:tl2br w:val="nil"/>
                    <w:tr2bl w:val="nil"/>
                  </w:tcBorders>
                  <w:shd w:val="clear" w:color="auto" w:fill="auto"/>
                  <w:vAlign w:val="center"/>
                </w:tcPr>
                <w:p w14:paraId="66FA529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DN200、DN150、DN100，固态</w:t>
                  </w:r>
                </w:p>
              </w:tc>
              <w:tc>
                <w:tcPr>
                  <w:tcW w:w="1027" w:type="dxa"/>
                  <w:tcBorders>
                    <w:tl2br w:val="nil"/>
                    <w:tr2bl w:val="nil"/>
                  </w:tcBorders>
                  <w:shd w:val="clear" w:color="auto" w:fill="auto"/>
                  <w:vAlign w:val="center"/>
                </w:tcPr>
                <w:p w14:paraId="017C4E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41880m</w:t>
                  </w:r>
                </w:p>
              </w:tc>
              <w:tc>
                <w:tcPr>
                  <w:tcW w:w="2233" w:type="dxa"/>
                  <w:tcBorders>
                    <w:tl2br w:val="nil"/>
                    <w:tr2bl w:val="nil"/>
                  </w:tcBorders>
                  <w:shd w:val="clear" w:color="auto" w:fill="auto"/>
                  <w:vAlign w:val="center"/>
                </w:tcPr>
                <w:p w14:paraId="638128D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外购定制，沿管线作业点</w:t>
                  </w:r>
                </w:p>
              </w:tc>
            </w:tr>
            <w:tr w14:paraId="4297AA8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746" w:type="dxa"/>
                  <w:vMerge w:val="continue"/>
                  <w:tcBorders>
                    <w:tl2br w:val="nil"/>
                    <w:tr2bl w:val="nil"/>
                  </w:tcBorders>
                  <w:shd w:val="clear" w:color="auto" w:fill="auto"/>
                  <w:vAlign w:val="center"/>
                </w:tcPr>
                <w:p w14:paraId="52D9834F">
                  <w:pPr>
                    <w:jc w:val="center"/>
                    <w:rPr>
                      <w:rFonts w:hint="eastAsia" w:ascii="宋体" w:hAnsi="宋体" w:eastAsia="宋体" w:cs="宋体"/>
                      <w:i w:val="0"/>
                      <w:iCs w:val="0"/>
                      <w:color w:val="000000"/>
                      <w:sz w:val="22"/>
                      <w:szCs w:val="22"/>
                      <w:u w:val="none"/>
                    </w:rPr>
                  </w:pPr>
                </w:p>
              </w:tc>
              <w:tc>
                <w:tcPr>
                  <w:tcW w:w="1350" w:type="dxa"/>
                  <w:tcBorders>
                    <w:tl2br w:val="nil"/>
                    <w:tr2bl w:val="nil"/>
                  </w:tcBorders>
                  <w:shd w:val="clear" w:color="auto" w:fill="auto"/>
                  <w:vAlign w:val="center"/>
                </w:tcPr>
                <w:p w14:paraId="3D4F466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内外涂塑钢管</w:t>
                  </w:r>
                </w:p>
              </w:tc>
              <w:tc>
                <w:tcPr>
                  <w:tcW w:w="2581" w:type="dxa"/>
                  <w:tcBorders>
                    <w:tl2br w:val="nil"/>
                    <w:tr2bl w:val="nil"/>
                  </w:tcBorders>
                  <w:shd w:val="clear" w:color="auto" w:fill="auto"/>
                  <w:vAlign w:val="center"/>
                </w:tcPr>
                <w:p w14:paraId="2ABF43A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φ219</w:t>
                  </w:r>
                  <w:r>
                    <w:rPr>
                      <w:rFonts w:hint="default" w:ascii="Arial" w:hAnsi="Arial" w:eastAsia="宋体" w:cs="Arial"/>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8.0、φ108</w:t>
                  </w:r>
                  <w:r>
                    <w:rPr>
                      <w:rFonts w:hint="default" w:ascii="Arial" w:hAnsi="Arial" w:eastAsia="宋体" w:cs="Arial"/>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6.0、φ54</w:t>
                  </w:r>
                  <w:r>
                    <w:rPr>
                      <w:rFonts w:hint="default" w:ascii="Arial" w:hAnsi="Arial" w:eastAsia="宋体" w:cs="Arial"/>
                      <w:i w:val="0"/>
                      <w:iCs w:val="0"/>
                      <w:color w:val="000000"/>
                      <w:kern w:val="0"/>
                      <w:sz w:val="22"/>
                      <w:szCs w:val="22"/>
                      <w:u w:val="none"/>
                      <w:lang w:val="en-US" w:eastAsia="zh-CN" w:bidi="ar"/>
                    </w:rPr>
                    <w:t>×</w:t>
                  </w:r>
                  <w:r>
                    <w:rPr>
                      <w:rFonts w:hint="eastAsia" w:ascii="宋体" w:hAnsi="宋体" w:eastAsia="宋体" w:cs="宋体"/>
                      <w:i w:val="0"/>
                      <w:iCs w:val="0"/>
                      <w:color w:val="000000"/>
                      <w:kern w:val="0"/>
                      <w:sz w:val="22"/>
                      <w:szCs w:val="22"/>
                      <w:u w:val="none"/>
                      <w:lang w:val="en-US" w:eastAsia="zh-CN" w:bidi="ar"/>
                    </w:rPr>
                    <w:t>3.5，固态</w:t>
                  </w:r>
                </w:p>
              </w:tc>
              <w:tc>
                <w:tcPr>
                  <w:tcW w:w="1027" w:type="dxa"/>
                  <w:tcBorders>
                    <w:tl2br w:val="nil"/>
                    <w:tr2bl w:val="nil"/>
                  </w:tcBorders>
                  <w:shd w:val="clear" w:color="auto" w:fill="auto"/>
                  <w:vAlign w:val="center"/>
                </w:tcPr>
                <w:p w14:paraId="4885F8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57600m</w:t>
                  </w:r>
                </w:p>
              </w:tc>
              <w:tc>
                <w:tcPr>
                  <w:tcW w:w="2233" w:type="dxa"/>
                  <w:tcBorders>
                    <w:tl2br w:val="nil"/>
                    <w:tr2bl w:val="nil"/>
                  </w:tcBorders>
                  <w:shd w:val="clear" w:color="auto" w:fill="auto"/>
                  <w:vAlign w:val="center"/>
                </w:tcPr>
                <w:p w14:paraId="21FD318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外购定制，沿管线作业点</w:t>
                  </w:r>
                </w:p>
              </w:tc>
            </w:tr>
            <w:tr w14:paraId="3EFAC68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746" w:type="dxa"/>
                  <w:vMerge w:val="continue"/>
                  <w:tcBorders>
                    <w:tl2br w:val="nil"/>
                    <w:tr2bl w:val="nil"/>
                  </w:tcBorders>
                  <w:shd w:val="clear" w:color="auto" w:fill="auto"/>
                  <w:vAlign w:val="center"/>
                </w:tcPr>
                <w:p w14:paraId="33BD9411">
                  <w:pPr>
                    <w:jc w:val="center"/>
                    <w:rPr>
                      <w:rFonts w:hint="eastAsia" w:ascii="宋体" w:hAnsi="宋体" w:eastAsia="宋体" w:cs="宋体"/>
                      <w:i w:val="0"/>
                      <w:iCs w:val="0"/>
                      <w:color w:val="000000"/>
                      <w:sz w:val="22"/>
                      <w:szCs w:val="22"/>
                      <w:u w:val="none"/>
                    </w:rPr>
                  </w:pPr>
                </w:p>
              </w:tc>
              <w:tc>
                <w:tcPr>
                  <w:tcW w:w="1350" w:type="dxa"/>
                  <w:tcBorders>
                    <w:tl2br w:val="nil"/>
                    <w:tr2bl w:val="nil"/>
                  </w:tcBorders>
                  <w:shd w:val="clear" w:color="auto" w:fill="auto"/>
                  <w:vAlign w:val="center"/>
                </w:tcPr>
                <w:p w14:paraId="4F8C440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软密封闸阀</w:t>
                  </w:r>
                </w:p>
              </w:tc>
              <w:tc>
                <w:tcPr>
                  <w:tcW w:w="2581" w:type="dxa"/>
                  <w:tcBorders>
                    <w:tl2br w:val="nil"/>
                    <w:tr2bl w:val="nil"/>
                  </w:tcBorders>
                  <w:shd w:val="clear" w:color="auto" w:fill="auto"/>
                  <w:vAlign w:val="center"/>
                </w:tcPr>
                <w:p w14:paraId="19CBDB2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铸铁或不锈钢，固态</w:t>
                  </w:r>
                </w:p>
              </w:tc>
              <w:tc>
                <w:tcPr>
                  <w:tcW w:w="1027" w:type="dxa"/>
                  <w:tcBorders>
                    <w:tl2br w:val="nil"/>
                    <w:tr2bl w:val="nil"/>
                  </w:tcBorders>
                  <w:shd w:val="clear" w:color="auto" w:fill="auto"/>
                  <w:vAlign w:val="center"/>
                </w:tcPr>
                <w:p w14:paraId="1F8354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200套</w:t>
                  </w:r>
                </w:p>
              </w:tc>
              <w:tc>
                <w:tcPr>
                  <w:tcW w:w="2233" w:type="dxa"/>
                  <w:tcBorders>
                    <w:tl2br w:val="nil"/>
                    <w:tr2bl w:val="nil"/>
                  </w:tcBorders>
                  <w:shd w:val="clear" w:color="auto" w:fill="auto"/>
                  <w:vAlign w:val="center"/>
                </w:tcPr>
                <w:p w14:paraId="7D7B934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外购，现场安装</w:t>
                  </w:r>
                </w:p>
              </w:tc>
            </w:tr>
            <w:tr w14:paraId="72F9EA4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746" w:type="dxa"/>
                  <w:vMerge w:val="continue"/>
                  <w:tcBorders>
                    <w:tl2br w:val="nil"/>
                    <w:tr2bl w:val="nil"/>
                  </w:tcBorders>
                  <w:shd w:val="clear" w:color="auto" w:fill="auto"/>
                  <w:vAlign w:val="center"/>
                </w:tcPr>
                <w:p w14:paraId="2CBA863D">
                  <w:pPr>
                    <w:jc w:val="center"/>
                    <w:rPr>
                      <w:rFonts w:hint="eastAsia" w:ascii="宋体" w:hAnsi="宋体" w:eastAsia="宋体" w:cs="宋体"/>
                      <w:i w:val="0"/>
                      <w:iCs w:val="0"/>
                      <w:color w:val="000000"/>
                      <w:sz w:val="22"/>
                      <w:szCs w:val="22"/>
                      <w:u w:val="none"/>
                    </w:rPr>
                  </w:pPr>
                </w:p>
              </w:tc>
              <w:tc>
                <w:tcPr>
                  <w:tcW w:w="1350" w:type="dxa"/>
                  <w:tcBorders>
                    <w:tl2br w:val="nil"/>
                    <w:tr2bl w:val="nil"/>
                  </w:tcBorders>
                  <w:shd w:val="clear" w:color="auto" w:fill="auto"/>
                  <w:vAlign w:val="center"/>
                </w:tcPr>
                <w:p w14:paraId="381B637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复合自动排气阀</w:t>
                  </w:r>
                </w:p>
              </w:tc>
              <w:tc>
                <w:tcPr>
                  <w:tcW w:w="2581" w:type="dxa"/>
                  <w:tcBorders>
                    <w:tl2br w:val="nil"/>
                    <w:tr2bl w:val="nil"/>
                  </w:tcBorders>
                  <w:shd w:val="clear" w:color="auto" w:fill="auto"/>
                  <w:vAlign w:val="center"/>
                </w:tcPr>
                <w:p w14:paraId="3C9E75C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固态</w:t>
                  </w:r>
                </w:p>
              </w:tc>
              <w:tc>
                <w:tcPr>
                  <w:tcW w:w="1027" w:type="dxa"/>
                  <w:tcBorders>
                    <w:tl2br w:val="nil"/>
                    <w:tr2bl w:val="nil"/>
                  </w:tcBorders>
                  <w:shd w:val="clear" w:color="auto" w:fill="auto"/>
                  <w:vAlign w:val="center"/>
                </w:tcPr>
                <w:p w14:paraId="421925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50套</w:t>
                  </w:r>
                </w:p>
              </w:tc>
              <w:tc>
                <w:tcPr>
                  <w:tcW w:w="2233" w:type="dxa"/>
                  <w:tcBorders>
                    <w:tl2br w:val="nil"/>
                    <w:tr2bl w:val="nil"/>
                  </w:tcBorders>
                  <w:shd w:val="clear" w:color="auto" w:fill="auto"/>
                  <w:vAlign w:val="center"/>
                </w:tcPr>
                <w:p w14:paraId="2CDBB28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外购，现场安装</w:t>
                  </w:r>
                </w:p>
              </w:tc>
            </w:tr>
            <w:tr w14:paraId="2AE46E0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746" w:type="dxa"/>
                  <w:vMerge w:val="continue"/>
                  <w:tcBorders>
                    <w:tl2br w:val="nil"/>
                    <w:tr2bl w:val="nil"/>
                  </w:tcBorders>
                  <w:shd w:val="clear" w:color="auto" w:fill="auto"/>
                  <w:vAlign w:val="center"/>
                </w:tcPr>
                <w:p w14:paraId="10B13C8E">
                  <w:pPr>
                    <w:jc w:val="center"/>
                    <w:rPr>
                      <w:rFonts w:hint="eastAsia" w:ascii="宋体" w:hAnsi="宋体" w:eastAsia="宋体" w:cs="宋体"/>
                      <w:i w:val="0"/>
                      <w:iCs w:val="0"/>
                      <w:color w:val="000000"/>
                      <w:sz w:val="22"/>
                      <w:szCs w:val="22"/>
                      <w:u w:val="none"/>
                    </w:rPr>
                  </w:pPr>
                </w:p>
              </w:tc>
              <w:tc>
                <w:tcPr>
                  <w:tcW w:w="1350" w:type="dxa"/>
                  <w:tcBorders>
                    <w:tl2br w:val="nil"/>
                    <w:tr2bl w:val="nil"/>
                  </w:tcBorders>
                  <w:shd w:val="clear" w:color="auto" w:fill="auto"/>
                  <w:vAlign w:val="center"/>
                </w:tcPr>
                <w:p w14:paraId="7C8D37A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排泥阀</w:t>
                  </w:r>
                </w:p>
              </w:tc>
              <w:tc>
                <w:tcPr>
                  <w:tcW w:w="2581" w:type="dxa"/>
                  <w:tcBorders>
                    <w:tl2br w:val="nil"/>
                    <w:tr2bl w:val="nil"/>
                  </w:tcBorders>
                  <w:shd w:val="clear" w:color="auto" w:fill="auto"/>
                  <w:vAlign w:val="center"/>
                </w:tcPr>
                <w:p w14:paraId="7617A05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固态</w:t>
                  </w:r>
                </w:p>
              </w:tc>
              <w:tc>
                <w:tcPr>
                  <w:tcW w:w="1027" w:type="dxa"/>
                  <w:tcBorders>
                    <w:tl2br w:val="nil"/>
                    <w:tr2bl w:val="nil"/>
                  </w:tcBorders>
                  <w:shd w:val="clear" w:color="auto" w:fill="auto"/>
                  <w:vAlign w:val="center"/>
                </w:tcPr>
                <w:p w14:paraId="6F9D9B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50套</w:t>
                  </w:r>
                </w:p>
              </w:tc>
              <w:tc>
                <w:tcPr>
                  <w:tcW w:w="2233" w:type="dxa"/>
                  <w:tcBorders>
                    <w:tl2br w:val="nil"/>
                    <w:tr2bl w:val="nil"/>
                  </w:tcBorders>
                  <w:shd w:val="clear" w:color="auto" w:fill="auto"/>
                  <w:vAlign w:val="center"/>
                </w:tcPr>
                <w:p w14:paraId="3A8DE01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外购，现场安装</w:t>
                  </w:r>
                </w:p>
              </w:tc>
            </w:tr>
            <w:tr w14:paraId="134A133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746" w:type="dxa"/>
                  <w:vMerge w:val="continue"/>
                  <w:tcBorders>
                    <w:tl2br w:val="nil"/>
                    <w:tr2bl w:val="nil"/>
                  </w:tcBorders>
                  <w:shd w:val="clear" w:color="auto" w:fill="auto"/>
                  <w:vAlign w:val="center"/>
                </w:tcPr>
                <w:p w14:paraId="2F77AD44">
                  <w:pPr>
                    <w:jc w:val="center"/>
                    <w:rPr>
                      <w:rFonts w:hint="eastAsia" w:ascii="宋体" w:hAnsi="宋体" w:eastAsia="宋体" w:cs="宋体"/>
                      <w:i w:val="0"/>
                      <w:iCs w:val="0"/>
                      <w:color w:val="000000"/>
                      <w:sz w:val="22"/>
                      <w:szCs w:val="22"/>
                      <w:u w:val="none"/>
                    </w:rPr>
                  </w:pPr>
                </w:p>
              </w:tc>
              <w:tc>
                <w:tcPr>
                  <w:tcW w:w="1350" w:type="dxa"/>
                  <w:tcBorders>
                    <w:tl2br w:val="nil"/>
                    <w:tr2bl w:val="nil"/>
                  </w:tcBorders>
                  <w:shd w:val="clear" w:color="auto" w:fill="auto"/>
                  <w:vAlign w:val="center"/>
                </w:tcPr>
                <w:p w14:paraId="73F45F2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水表</w:t>
                  </w:r>
                </w:p>
              </w:tc>
              <w:tc>
                <w:tcPr>
                  <w:tcW w:w="2581" w:type="dxa"/>
                  <w:tcBorders>
                    <w:tl2br w:val="nil"/>
                    <w:tr2bl w:val="nil"/>
                  </w:tcBorders>
                  <w:shd w:val="clear" w:color="auto" w:fill="auto"/>
                  <w:vAlign w:val="center"/>
                </w:tcPr>
                <w:p w14:paraId="261A723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LXS-15、LXS-25，固态</w:t>
                  </w:r>
                </w:p>
              </w:tc>
              <w:tc>
                <w:tcPr>
                  <w:tcW w:w="1027" w:type="dxa"/>
                  <w:tcBorders>
                    <w:tl2br w:val="nil"/>
                    <w:tr2bl w:val="nil"/>
                  </w:tcBorders>
                  <w:shd w:val="clear" w:color="auto" w:fill="auto"/>
                  <w:vAlign w:val="center"/>
                </w:tcPr>
                <w:p w14:paraId="3E9BFE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3803组</w:t>
                  </w:r>
                </w:p>
              </w:tc>
              <w:tc>
                <w:tcPr>
                  <w:tcW w:w="2233" w:type="dxa"/>
                  <w:tcBorders>
                    <w:tl2br w:val="nil"/>
                    <w:tr2bl w:val="nil"/>
                  </w:tcBorders>
                  <w:shd w:val="clear" w:color="auto" w:fill="auto"/>
                  <w:vAlign w:val="center"/>
                </w:tcPr>
                <w:p w14:paraId="76474CE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外购，现场安装</w:t>
                  </w:r>
                </w:p>
              </w:tc>
            </w:tr>
            <w:tr w14:paraId="5557869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746" w:type="dxa"/>
                  <w:vMerge w:val="continue"/>
                  <w:tcBorders>
                    <w:tl2br w:val="nil"/>
                    <w:tr2bl w:val="nil"/>
                  </w:tcBorders>
                  <w:shd w:val="clear" w:color="auto" w:fill="auto"/>
                  <w:vAlign w:val="center"/>
                </w:tcPr>
                <w:p w14:paraId="1B383549">
                  <w:pPr>
                    <w:jc w:val="center"/>
                    <w:rPr>
                      <w:rFonts w:hint="eastAsia" w:ascii="宋体" w:hAnsi="宋体" w:eastAsia="宋体" w:cs="宋体"/>
                      <w:i w:val="0"/>
                      <w:iCs w:val="0"/>
                      <w:color w:val="000000"/>
                      <w:sz w:val="22"/>
                      <w:szCs w:val="22"/>
                      <w:u w:val="none"/>
                    </w:rPr>
                  </w:pPr>
                </w:p>
              </w:tc>
              <w:tc>
                <w:tcPr>
                  <w:tcW w:w="1350" w:type="dxa"/>
                  <w:tcBorders>
                    <w:tl2br w:val="nil"/>
                    <w:tr2bl w:val="nil"/>
                  </w:tcBorders>
                  <w:shd w:val="clear" w:color="auto" w:fill="auto"/>
                  <w:vAlign w:val="center"/>
                </w:tcPr>
                <w:p w14:paraId="24FC5D1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加压泵站设备</w:t>
                  </w:r>
                </w:p>
              </w:tc>
              <w:tc>
                <w:tcPr>
                  <w:tcW w:w="2581" w:type="dxa"/>
                  <w:tcBorders>
                    <w:tl2br w:val="nil"/>
                    <w:tr2bl w:val="nil"/>
                  </w:tcBorders>
                  <w:shd w:val="clear" w:color="auto" w:fill="auto"/>
                  <w:vAlign w:val="center"/>
                </w:tcPr>
                <w:p w14:paraId="064731C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水泵、电机、控制系统</w:t>
                  </w:r>
                </w:p>
              </w:tc>
              <w:tc>
                <w:tcPr>
                  <w:tcW w:w="1027" w:type="dxa"/>
                  <w:tcBorders>
                    <w:tl2br w:val="nil"/>
                    <w:tr2bl w:val="nil"/>
                  </w:tcBorders>
                  <w:shd w:val="clear" w:color="auto" w:fill="auto"/>
                  <w:vAlign w:val="center"/>
                </w:tcPr>
                <w:p w14:paraId="0CB8B0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2"/>
                      <w:szCs w:val="22"/>
                      <w:u w:val="none"/>
                      <w:lang w:val="en-US" w:eastAsia="zh-CN" w:bidi="ar"/>
                    </w:rPr>
                    <w:t>2</w:t>
                  </w:r>
                  <w:r>
                    <w:rPr>
                      <w:rFonts w:hint="eastAsia" w:ascii="宋体" w:hAnsi="宋体" w:eastAsia="宋体" w:cs="宋体"/>
                      <w:i w:val="0"/>
                      <w:iCs w:val="0"/>
                      <w:color w:val="000000"/>
                      <w:kern w:val="0"/>
                      <w:sz w:val="22"/>
                      <w:szCs w:val="22"/>
                      <w:u w:val="none"/>
                      <w:lang w:val="en-US" w:eastAsia="zh-CN" w:bidi="ar"/>
                    </w:rPr>
                    <w:t>套</w:t>
                  </w:r>
                </w:p>
              </w:tc>
              <w:tc>
                <w:tcPr>
                  <w:tcW w:w="2233" w:type="dxa"/>
                  <w:tcBorders>
                    <w:tl2br w:val="nil"/>
                    <w:tr2bl w:val="nil"/>
                  </w:tcBorders>
                  <w:shd w:val="clear" w:color="auto" w:fill="auto"/>
                  <w:vAlign w:val="center"/>
                </w:tcPr>
                <w:p w14:paraId="1E79E7D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外购，现场安装</w:t>
                  </w:r>
                </w:p>
              </w:tc>
            </w:tr>
            <w:tr w14:paraId="5A8FBFB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746" w:type="dxa"/>
                  <w:vMerge w:val="continue"/>
                  <w:tcBorders>
                    <w:tl2br w:val="nil"/>
                    <w:tr2bl w:val="nil"/>
                  </w:tcBorders>
                  <w:shd w:val="clear" w:color="auto" w:fill="auto"/>
                  <w:vAlign w:val="center"/>
                </w:tcPr>
                <w:p w14:paraId="106EC550">
                  <w:pPr>
                    <w:jc w:val="center"/>
                    <w:rPr>
                      <w:rFonts w:hint="eastAsia" w:ascii="宋体" w:hAnsi="宋体" w:eastAsia="宋体" w:cs="宋体"/>
                      <w:i w:val="0"/>
                      <w:iCs w:val="0"/>
                      <w:color w:val="000000"/>
                      <w:sz w:val="22"/>
                      <w:szCs w:val="22"/>
                      <w:u w:val="none"/>
                    </w:rPr>
                  </w:pPr>
                </w:p>
              </w:tc>
              <w:tc>
                <w:tcPr>
                  <w:tcW w:w="1350" w:type="dxa"/>
                  <w:tcBorders>
                    <w:tl2br w:val="nil"/>
                    <w:tr2bl w:val="nil"/>
                  </w:tcBorders>
                  <w:shd w:val="clear" w:color="auto" w:fill="auto"/>
                  <w:vAlign w:val="center"/>
                </w:tcPr>
                <w:p w14:paraId="6014369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中粗砂</w:t>
                  </w:r>
                </w:p>
              </w:tc>
              <w:tc>
                <w:tcPr>
                  <w:tcW w:w="2581" w:type="dxa"/>
                  <w:tcBorders>
                    <w:tl2br w:val="nil"/>
                    <w:tr2bl w:val="nil"/>
                  </w:tcBorders>
                  <w:shd w:val="clear" w:color="auto" w:fill="auto"/>
                  <w:vAlign w:val="center"/>
                </w:tcPr>
                <w:p w14:paraId="0623618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散装，固态（管道垫层）</w:t>
                  </w:r>
                </w:p>
              </w:tc>
              <w:tc>
                <w:tcPr>
                  <w:tcW w:w="1027" w:type="dxa"/>
                  <w:tcBorders>
                    <w:tl2br w:val="nil"/>
                    <w:tr2bl w:val="nil"/>
                  </w:tcBorders>
                  <w:shd w:val="clear" w:color="auto" w:fill="auto"/>
                  <w:vAlign w:val="center"/>
                </w:tcPr>
                <w:p w14:paraId="03909A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10000m³</w:t>
                  </w:r>
                </w:p>
              </w:tc>
              <w:tc>
                <w:tcPr>
                  <w:tcW w:w="2233" w:type="dxa"/>
                  <w:tcBorders>
                    <w:tl2br w:val="nil"/>
                    <w:tr2bl w:val="nil"/>
                  </w:tcBorders>
                  <w:shd w:val="clear" w:color="auto" w:fill="auto"/>
                  <w:vAlign w:val="center"/>
                </w:tcPr>
                <w:p w14:paraId="7ACBB43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外购，直接运入，不储存</w:t>
                  </w:r>
                </w:p>
              </w:tc>
            </w:tr>
            <w:tr w14:paraId="3BCE7FB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746" w:type="dxa"/>
                  <w:vMerge w:val="restart"/>
                  <w:tcBorders>
                    <w:tl2br w:val="nil"/>
                    <w:tr2bl w:val="nil"/>
                  </w:tcBorders>
                  <w:shd w:val="clear" w:color="auto" w:fill="auto"/>
                  <w:vAlign w:val="center"/>
                </w:tcPr>
                <w:p w14:paraId="634D7B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能源</w:t>
                  </w:r>
                </w:p>
              </w:tc>
              <w:tc>
                <w:tcPr>
                  <w:tcW w:w="1350" w:type="dxa"/>
                  <w:tcBorders>
                    <w:tl2br w:val="nil"/>
                    <w:tr2bl w:val="nil"/>
                  </w:tcBorders>
                  <w:shd w:val="clear" w:color="auto" w:fill="auto"/>
                  <w:vAlign w:val="center"/>
                </w:tcPr>
                <w:p w14:paraId="6BBF6CF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柴油</w:t>
                  </w:r>
                </w:p>
              </w:tc>
              <w:tc>
                <w:tcPr>
                  <w:tcW w:w="2581" w:type="dxa"/>
                  <w:tcBorders>
                    <w:tl2br w:val="nil"/>
                    <w:tr2bl w:val="nil"/>
                  </w:tcBorders>
                  <w:shd w:val="clear" w:color="auto" w:fill="auto"/>
                  <w:vAlign w:val="center"/>
                </w:tcPr>
                <w:p w14:paraId="682C247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液态（施工机械）</w:t>
                  </w:r>
                </w:p>
              </w:tc>
              <w:tc>
                <w:tcPr>
                  <w:tcW w:w="1027" w:type="dxa"/>
                  <w:tcBorders>
                    <w:tl2br w:val="nil"/>
                    <w:tr2bl w:val="nil"/>
                  </w:tcBorders>
                  <w:shd w:val="clear" w:color="auto" w:fill="auto"/>
                  <w:vAlign w:val="center"/>
                </w:tcPr>
                <w:p w14:paraId="280105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40t</w:t>
                  </w:r>
                </w:p>
              </w:tc>
              <w:tc>
                <w:tcPr>
                  <w:tcW w:w="2233" w:type="dxa"/>
                  <w:tcBorders>
                    <w:tl2br w:val="nil"/>
                    <w:tr2bl w:val="nil"/>
                  </w:tcBorders>
                  <w:shd w:val="clear" w:color="auto" w:fill="auto"/>
                  <w:vAlign w:val="center"/>
                </w:tcPr>
                <w:p w14:paraId="257F99D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就近加油站外购，不储存</w:t>
                  </w:r>
                </w:p>
              </w:tc>
            </w:tr>
            <w:tr w14:paraId="083344B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746" w:type="dxa"/>
                  <w:vMerge w:val="continue"/>
                  <w:tcBorders>
                    <w:tl2br w:val="nil"/>
                    <w:tr2bl w:val="nil"/>
                  </w:tcBorders>
                  <w:shd w:val="clear" w:color="auto" w:fill="auto"/>
                  <w:vAlign w:val="center"/>
                </w:tcPr>
                <w:p w14:paraId="3B6A9343">
                  <w:pPr>
                    <w:jc w:val="center"/>
                    <w:rPr>
                      <w:rFonts w:hint="eastAsia" w:ascii="宋体" w:hAnsi="宋体" w:eastAsia="宋体" w:cs="宋体"/>
                      <w:i w:val="0"/>
                      <w:iCs w:val="0"/>
                      <w:color w:val="000000"/>
                      <w:sz w:val="22"/>
                      <w:szCs w:val="22"/>
                      <w:u w:val="none"/>
                    </w:rPr>
                  </w:pPr>
                </w:p>
              </w:tc>
              <w:tc>
                <w:tcPr>
                  <w:tcW w:w="1350" w:type="dxa"/>
                  <w:tcBorders>
                    <w:tl2br w:val="nil"/>
                    <w:tr2bl w:val="nil"/>
                  </w:tcBorders>
                  <w:shd w:val="clear" w:color="auto" w:fill="auto"/>
                  <w:vAlign w:val="center"/>
                </w:tcPr>
                <w:p w14:paraId="7CDBB4D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汽油</w:t>
                  </w:r>
                </w:p>
              </w:tc>
              <w:tc>
                <w:tcPr>
                  <w:tcW w:w="2581" w:type="dxa"/>
                  <w:tcBorders>
                    <w:tl2br w:val="nil"/>
                    <w:tr2bl w:val="nil"/>
                  </w:tcBorders>
                  <w:shd w:val="clear" w:color="auto" w:fill="auto"/>
                  <w:vAlign w:val="center"/>
                </w:tcPr>
                <w:p w14:paraId="36A39FF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液态（小型机具）</w:t>
                  </w:r>
                </w:p>
              </w:tc>
              <w:tc>
                <w:tcPr>
                  <w:tcW w:w="1027" w:type="dxa"/>
                  <w:tcBorders>
                    <w:tl2br w:val="nil"/>
                    <w:tr2bl w:val="nil"/>
                  </w:tcBorders>
                  <w:shd w:val="clear" w:color="auto" w:fill="auto"/>
                  <w:vAlign w:val="center"/>
                </w:tcPr>
                <w:p w14:paraId="411BA2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10t</w:t>
                  </w:r>
                </w:p>
              </w:tc>
              <w:tc>
                <w:tcPr>
                  <w:tcW w:w="2233" w:type="dxa"/>
                  <w:tcBorders>
                    <w:tl2br w:val="nil"/>
                    <w:tr2bl w:val="nil"/>
                  </w:tcBorders>
                  <w:shd w:val="clear" w:color="auto" w:fill="auto"/>
                  <w:vAlign w:val="center"/>
                </w:tcPr>
                <w:p w14:paraId="1BE81F6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就近加油站外购，不储存</w:t>
                  </w:r>
                </w:p>
              </w:tc>
            </w:tr>
          </w:tbl>
          <w:p w14:paraId="73412D25">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宋体" w:hAnsi="宋体" w:cs="宋体"/>
                <w:color w:val="auto"/>
                <w:sz w:val="24"/>
                <w:szCs w:val="24"/>
                <w:lang w:val="en-US" w:eastAsia="zh-CN"/>
              </w:rPr>
            </w:pPr>
            <w:r>
              <w:rPr>
                <w:rFonts w:hint="eastAsia" w:ascii="宋体" w:hAnsi="宋体" w:cs="宋体"/>
                <w:b/>
                <w:bCs/>
                <w:color w:val="auto"/>
                <w:sz w:val="24"/>
                <w:szCs w:val="24"/>
                <w:lang w:val="en-US" w:eastAsia="zh-CN"/>
              </w:rPr>
              <w:t>4、项目施工机械</w:t>
            </w:r>
          </w:p>
          <w:p w14:paraId="3A36B875">
            <w:pPr>
              <w:pStyle w:val="19"/>
              <w:keepNext/>
              <w:keepLines w:val="0"/>
              <w:pageBreakBefore w:val="0"/>
              <w:widowControl w:val="0"/>
              <w:kinsoku/>
              <w:wordWrap/>
              <w:overflowPunct/>
              <w:topLinePunct w:val="0"/>
              <w:autoSpaceDE/>
              <w:autoSpaceDN/>
              <w:bidi w:val="0"/>
              <w:adjustRightInd/>
              <w:snapToGrid/>
              <w:spacing w:before="0"/>
              <w:textAlignment w:val="auto"/>
              <w:rPr>
                <w:rFonts w:hint="default"/>
                <w:b w:val="0"/>
                <w:bCs/>
                <w:lang w:val="en-US" w:eastAsia="zh-CN"/>
              </w:rPr>
            </w:pPr>
            <w:r>
              <w:rPr>
                <w:rFonts w:hint="eastAsia"/>
                <w:b w:val="0"/>
                <w:bCs/>
                <w:lang w:val="en-US" w:eastAsia="zh-CN"/>
              </w:rPr>
              <w:t>表2-9  防洪排涝工程主要施工机械表</w:t>
            </w:r>
          </w:p>
          <w:tbl>
            <w:tblPr>
              <w:tblStyle w:val="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99"/>
              <w:gridCol w:w="3150"/>
              <w:gridCol w:w="1813"/>
              <w:gridCol w:w="937"/>
              <w:gridCol w:w="1195"/>
            </w:tblGrid>
            <w:tr w14:paraId="564ABF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06" w:type="pct"/>
                  <w:tcBorders>
                    <w:tl2br w:val="nil"/>
                    <w:tr2bl w:val="nil"/>
                  </w:tcBorders>
                  <w:noWrap/>
                  <w:vAlign w:val="center"/>
                </w:tcPr>
                <w:p w14:paraId="0D5DA4BD">
                  <w:pPr>
                    <w:spacing w:line="300" w:lineRule="exact"/>
                    <w:ind w:firstLine="0" w:firstLineChars="0"/>
                    <w:jc w:val="center"/>
                    <w:rPr>
                      <w:color w:val="auto"/>
                      <w:sz w:val="21"/>
                      <w:szCs w:val="21"/>
                      <w:lang w:val="zh-CN"/>
                    </w:rPr>
                  </w:pPr>
                  <w:r>
                    <w:rPr>
                      <w:rFonts w:hint="eastAsia"/>
                      <w:color w:val="auto"/>
                      <w:sz w:val="21"/>
                      <w:szCs w:val="21"/>
                      <w:lang w:val="zh-CN"/>
                    </w:rPr>
                    <w:t>序号</w:t>
                  </w:r>
                </w:p>
              </w:tc>
              <w:tc>
                <w:tcPr>
                  <w:tcW w:w="1995" w:type="pct"/>
                  <w:tcBorders>
                    <w:tl2br w:val="nil"/>
                    <w:tr2bl w:val="nil"/>
                  </w:tcBorders>
                  <w:noWrap/>
                  <w:vAlign w:val="center"/>
                </w:tcPr>
                <w:p w14:paraId="0DAAC562">
                  <w:pPr>
                    <w:spacing w:line="300" w:lineRule="exact"/>
                    <w:ind w:firstLine="0" w:firstLineChars="0"/>
                    <w:jc w:val="center"/>
                    <w:rPr>
                      <w:color w:val="auto"/>
                      <w:sz w:val="21"/>
                      <w:szCs w:val="21"/>
                      <w:lang w:val="zh-CN"/>
                    </w:rPr>
                  </w:pPr>
                  <w:r>
                    <w:rPr>
                      <w:rFonts w:hint="eastAsia"/>
                      <w:color w:val="auto"/>
                      <w:sz w:val="21"/>
                      <w:szCs w:val="21"/>
                      <w:lang w:val="zh-CN"/>
                    </w:rPr>
                    <w:t>名称</w:t>
                  </w:r>
                </w:p>
              </w:tc>
              <w:tc>
                <w:tcPr>
                  <w:tcW w:w="1148" w:type="pct"/>
                  <w:tcBorders>
                    <w:tl2br w:val="nil"/>
                    <w:tr2bl w:val="nil"/>
                  </w:tcBorders>
                  <w:noWrap/>
                  <w:vAlign w:val="center"/>
                </w:tcPr>
                <w:p w14:paraId="5F259C8C">
                  <w:pPr>
                    <w:spacing w:line="300" w:lineRule="exact"/>
                    <w:ind w:firstLine="0" w:firstLineChars="0"/>
                    <w:jc w:val="center"/>
                    <w:rPr>
                      <w:color w:val="auto"/>
                      <w:sz w:val="21"/>
                      <w:szCs w:val="21"/>
                      <w:lang w:val="zh-CN"/>
                    </w:rPr>
                  </w:pPr>
                  <w:r>
                    <w:rPr>
                      <w:rFonts w:hint="eastAsia"/>
                      <w:color w:val="auto"/>
                      <w:sz w:val="21"/>
                      <w:szCs w:val="21"/>
                      <w:lang w:val="zh-CN"/>
                    </w:rPr>
                    <w:t>规格型号</w:t>
                  </w:r>
                </w:p>
              </w:tc>
              <w:tc>
                <w:tcPr>
                  <w:tcW w:w="593" w:type="pct"/>
                  <w:tcBorders>
                    <w:tl2br w:val="nil"/>
                    <w:tr2bl w:val="nil"/>
                  </w:tcBorders>
                  <w:noWrap/>
                  <w:vAlign w:val="center"/>
                </w:tcPr>
                <w:p w14:paraId="6DE6765B">
                  <w:pPr>
                    <w:spacing w:line="300" w:lineRule="exact"/>
                    <w:ind w:firstLine="0" w:firstLineChars="0"/>
                    <w:jc w:val="center"/>
                    <w:rPr>
                      <w:color w:val="auto"/>
                      <w:sz w:val="21"/>
                      <w:szCs w:val="21"/>
                      <w:lang w:val="zh-CN"/>
                    </w:rPr>
                  </w:pPr>
                  <w:r>
                    <w:rPr>
                      <w:rFonts w:hint="eastAsia"/>
                      <w:color w:val="auto"/>
                      <w:sz w:val="21"/>
                      <w:szCs w:val="21"/>
                      <w:lang w:val="zh-CN"/>
                    </w:rPr>
                    <w:t>单位</w:t>
                  </w:r>
                </w:p>
              </w:tc>
              <w:tc>
                <w:tcPr>
                  <w:tcW w:w="756" w:type="pct"/>
                  <w:tcBorders>
                    <w:tl2br w:val="nil"/>
                    <w:tr2bl w:val="nil"/>
                  </w:tcBorders>
                  <w:noWrap/>
                  <w:vAlign w:val="center"/>
                </w:tcPr>
                <w:p w14:paraId="5B949819">
                  <w:pPr>
                    <w:spacing w:line="300" w:lineRule="exact"/>
                    <w:ind w:firstLine="0" w:firstLineChars="0"/>
                    <w:jc w:val="center"/>
                    <w:rPr>
                      <w:color w:val="auto"/>
                      <w:sz w:val="21"/>
                      <w:szCs w:val="21"/>
                      <w:lang w:val="zh-CN"/>
                    </w:rPr>
                  </w:pPr>
                  <w:r>
                    <w:rPr>
                      <w:rFonts w:hint="eastAsia"/>
                      <w:color w:val="auto"/>
                      <w:sz w:val="21"/>
                      <w:szCs w:val="21"/>
                      <w:lang w:val="zh-CN"/>
                    </w:rPr>
                    <w:t>数量</w:t>
                  </w:r>
                </w:p>
              </w:tc>
            </w:tr>
            <w:tr w14:paraId="486857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06" w:type="pct"/>
                  <w:tcBorders>
                    <w:tl2br w:val="nil"/>
                    <w:tr2bl w:val="nil"/>
                  </w:tcBorders>
                  <w:noWrap/>
                  <w:vAlign w:val="center"/>
                </w:tcPr>
                <w:p w14:paraId="5D667227">
                  <w:pPr>
                    <w:keepNext w:val="0"/>
                    <w:keepLines w:val="0"/>
                    <w:widowControl/>
                    <w:suppressLineNumbers w:val="0"/>
                    <w:jc w:val="center"/>
                    <w:textAlignment w:val="center"/>
                    <w:rPr>
                      <w:rFonts w:hint="eastAsia" w:eastAsia="宋体"/>
                      <w:color w:val="auto"/>
                      <w:sz w:val="21"/>
                      <w:szCs w:val="21"/>
                      <w:lang w:val="en-US" w:eastAsia="zh-CN"/>
                    </w:rPr>
                  </w:pPr>
                  <w:r>
                    <w:rPr>
                      <w:rFonts w:hint="eastAsia" w:ascii="宋体" w:hAnsi="宋体" w:eastAsia="宋体" w:cs="宋体"/>
                      <w:i w:val="0"/>
                      <w:iCs w:val="0"/>
                      <w:color w:val="auto"/>
                      <w:kern w:val="0"/>
                      <w:sz w:val="22"/>
                      <w:szCs w:val="22"/>
                      <w:u w:val="none"/>
                      <w:lang w:val="en-US" w:eastAsia="zh-CN" w:bidi="ar"/>
                    </w:rPr>
                    <w:t>1</w:t>
                  </w:r>
                </w:p>
              </w:tc>
              <w:tc>
                <w:tcPr>
                  <w:tcW w:w="1995" w:type="pct"/>
                  <w:tcBorders>
                    <w:tl2br w:val="nil"/>
                    <w:tr2bl w:val="nil"/>
                  </w:tcBorders>
                  <w:noWrap/>
                  <w:vAlign w:val="center"/>
                </w:tcPr>
                <w:p w14:paraId="423ABE0A">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反铲挖掘机</w:t>
                  </w:r>
                </w:p>
              </w:tc>
              <w:tc>
                <w:tcPr>
                  <w:tcW w:w="1148" w:type="pct"/>
                  <w:tcBorders>
                    <w:tl2br w:val="nil"/>
                    <w:tr2bl w:val="nil"/>
                  </w:tcBorders>
                  <w:noWrap/>
                  <w:vAlign w:val="center"/>
                </w:tcPr>
                <w:p w14:paraId="62F3504D">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1.0m³～1.6m³</w:t>
                  </w:r>
                </w:p>
              </w:tc>
              <w:tc>
                <w:tcPr>
                  <w:tcW w:w="593" w:type="pct"/>
                  <w:tcBorders>
                    <w:tl2br w:val="nil"/>
                    <w:tr2bl w:val="nil"/>
                  </w:tcBorders>
                  <w:noWrap/>
                  <w:vAlign w:val="center"/>
                </w:tcPr>
                <w:p w14:paraId="528ECAEE">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台</w:t>
                  </w:r>
                </w:p>
              </w:tc>
              <w:tc>
                <w:tcPr>
                  <w:tcW w:w="756" w:type="pct"/>
                  <w:tcBorders>
                    <w:tl2br w:val="nil"/>
                    <w:tr2bl w:val="nil"/>
                  </w:tcBorders>
                  <w:noWrap/>
                  <w:vAlign w:val="center"/>
                </w:tcPr>
                <w:p w14:paraId="13B9AC69">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8</w:t>
                  </w:r>
                </w:p>
              </w:tc>
            </w:tr>
            <w:tr w14:paraId="6656E5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06" w:type="pct"/>
                  <w:tcBorders>
                    <w:tl2br w:val="nil"/>
                    <w:tr2bl w:val="nil"/>
                  </w:tcBorders>
                  <w:noWrap/>
                  <w:vAlign w:val="center"/>
                </w:tcPr>
                <w:p w14:paraId="4258DE46">
                  <w:pPr>
                    <w:keepNext w:val="0"/>
                    <w:keepLines w:val="0"/>
                    <w:widowControl/>
                    <w:suppressLineNumbers w:val="0"/>
                    <w:jc w:val="center"/>
                    <w:textAlignment w:val="center"/>
                    <w:rPr>
                      <w:rFonts w:hint="eastAsia" w:eastAsia="宋体"/>
                      <w:color w:val="auto"/>
                      <w:sz w:val="21"/>
                      <w:szCs w:val="21"/>
                      <w:lang w:val="en-US" w:eastAsia="zh-CN"/>
                    </w:rPr>
                  </w:pPr>
                  <w:r>
                    <w:rPr>
                      <w:rFonts w:hint="eastAsia" w:ascii="宋体" w:hAnsi="宋体" w:eastAsia="宋体" w:cs="宋体"/>
                      <w:i w:val="0"/>
                      <w:iCs w:val="0"/>
                      <w:color w:val="auto"/>
                      <w:kern w:val="0"/>
                      <w:sz w:val="22"/>
                      <w:szCs w:val="22"/>
                      <w:u w:val="none"/>
                      <w:lang w:val="en-US" w:eastAsia="zh-CN" w:bidi="ar"/>
                    </w:rPr>
                    <w:t>2</w:t>
                  </w:r>
                </w:p>
              </w:tc>
              <w:tc>
                <w:tcPr>
                  <w:tcW w:w="1995" w:type="pct"/>
                  <w:tcBorders>
                    <w:tl2br w:val="nil"/>
                    <w:tr2bl w:val="nil"/>
                  </w:tcBorders>
                  <w:noWrap/>
                  <w:vAlign w:val="center"/>
                </w:tcPr>
                <w:p w14:paraId="47952415">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顶管机（泥水平衡式/机械式）</w:t>
                  </w:r>
                </w:p>
              </w:tc>
              <w:tc>
                <w:tcPr>
                  <w:tcW w:w="1148" w:type="pct"/>
                  <w:tcBorders>
                    <w:tl2br w:val="nil"/>
                    <w:tr2bl w:val="nil"/>
                  </w:tcBorders>
                  <w:noWrap/>
                  <w:vAlign w:val="center"/>
                </w:tcPr>
                <w:p w14:paraId="0976D271">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DN2600</w:t>
                  </w:r>
                </w:p>
              </w:tc>
              <w:tc>
                <w:tcPr>
                  <w:tcW w:w="593" w:type="pct"/>
                  <w:tcBorders>
                    <w:tl2br w:val="nil"/>
                    <w:tr2bl w:val="nil"/>
                  </w:tcBorders>
                  <w:noWrap/>
                  <w:vAlign w:val="center"/>
                </w:tcPr>
                <w:p w14:paraId="22BDA74C">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台</w:t>
                  </w:r>
                </w:p>
              </w:tc>
              <w:tc>
                <w:tcPr>
                  <w:tcW w:w="756" w:type="pct"/>
                  <w:tcBorders>
                    <w:tl2br w:val="nil"/>
                    <w:tr2bl w:val="nil"/>
                  </w:tcBorders>
                  <w:noWrap/>
                  <w:vAlign w:val="center"/>
                </w:tcPr>
                <w:p w14:paraId="667D8128">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2</w:t>
                  </w:r>
                </w:p>
              </w:tc>
            </w:tr>
            <w:tr w14:paraId="0E457D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06" w:type="pct"/>
                  <w:tcBorders>
                    <w:tl2br w:val="nil"/>
                    <w:tr2bl w:val="nil"/>
                  </w:tcBorders>
                  <w:noWrap/>
                  <w:vAlign w:val="center"/>
                </w:tcPr>
                <w:p w14:paraId="5E348D8E">
                  <w:pPr>
                    <w:keepNext w:val="0"/>
                    <w:keepLines w:val="0"/>
                    <w:widowControl/>
                    <w:suppressLineNumbers w:val="0"/>
                    <w:jc w:val="center"/>
                    <w:textAlignment w:val="center"/>
                    <w:rPr>
                      <w:rFonts w:hint="eastAsia" w:eastAsia="宋体"/>
                      <w:color w:val="auto"/>
                      <w:sz w:val="21"/>
                      <w:szCs w:val="21"/>
                      <w:lang w:val="en-US" w:eastAsia="zh-CN"/>
                    </w:rPr>
                  </w:pPr>
                  <w:r>
                    <w:rPr>
                      <w:rFonts w:hint="eastAsia" w:ascii="宋体" w:hAnsi="宋体" w:eastAsia="宋体" w:cs="宋体"/>
                      <w:i w:val="0"/>
                      <w:iCs w:val="0"/>
                      <w:color w:val="auto"/>
                      <w:kern w:val="0"/>
                      <w:sz w:val="22"/>
                      <w:szCs w:val="22"/>
                      <w:u w:val="none"/>
                      <w:lang w:val="en-US" w:eastAsia="zh-CN" w:bidi="ar"/>
                    </w:rPr>
                    <w:t>3</w:t>
                  </w:r>
                </w:p>
              </w:tc>
              <w:tc>
                <w:tcPr>
                  <w:tcW w:w="1995" w:type="pct"/>
                  <w:tcBorders>
                    <w:tl2br w:val="nil"/>
                    <w:tr2bl w:val="nil"/>
                  </w:tcBorders>
                  <w:noWrap/>
                  <w:vAlign w:val="center"/>
                </w:tcPr>
                <w:p w14:paraId="69CBAD11">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旋挖钻机</w:t>
                  </w:r>
                </w:p>
              </w:tc>
              <w:tc>
                <w:tcPr>
                  <w:tcW w:w="1148" w:type="pct"/>
                  <w:tcBorders>
                    <w:tl2br w:val="nil"/>
                    <w:tr2bl w:val="nil"/>
                  </w:tcBorders>
                  <w:noWrap/>
                  <w:vAlign w:val="center"/>
                </w:tcPr>
                <w:p w14:paraId="11A23D15">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SR280R</w:t>
                  </w:r>
                </w:p>
              </w:tc>
              <w:tc>
                <w:tcPr>
                  <w:tcW w:w="593" w:type="pct"/>
                  <w:tcBorders>
                    <w:tl2br w:val="nil"/>
                    <w:tr2bl w:val="nil"/>
                  </w:tcBorders>
                  <w:noWrap/>
                  <w:vAlign w:val="center"/>
                </w:tcPr>
                <w:p w14:paraId="2982B063">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台</w:t>
                  </w:r>
                </w:p>
              </w:tc>
              <w:tc>
                <w:tcPr>
                  <w:tcW w:w="756" w:type="pct"/>
                  <w:tcBorders>
                    <w:tl2br w:val="nil"/>
                    <w:tr2bl w:val="nil"/>
                  </w:tcBorders>
                  <w:noWrap/>
                  <w:vAlign w:val="center"/>
                </w:tcPr>
                <w:p w14:paraId="70A51F3E">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2</w:t>
                  </w:r>
                </w:p>
              </w:tc>
            </w:tr>
            <w:tr w14:paraId="469A897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06" w:type="pct"/>
                  <w:tcBorders>
                    <w:tl2br w:val="nil"/>
                    <w:tr2bl w:val="nil"/>
                  </w:tcBorders>
                  <w:noWrap/>
                  <w:vAlign w:val="center"/>
                </w:tcPr>
                <w:p w14:paraId="51E6551E">
                  <w:pPr>
                    <w:keepNext w:val="0"/>
                    <w:keepLines w:val="0"/>
                    <w:widowControl/>
                    <w:suppressLineNumbers w:val="0"/>
                    <w:jc w:val="center"/>
                    <w:textAlignment w:val="center"/>
                    <w:rPr>
                      <w:rFonts w:hint="eastAsia" w:eastAsia="宋体"/>
                      <w:color w:val="auto"/>
                      <w:sz w:val="21"/>
                      <w:szCs w:val="21"/>
                      <w:lang w:val="en-US" w:eastAsia="zh-CN"/>
                    </w:rPr>
                  </w:pPr>
                  <w:r>
                    <w:rPr>
                      <w:rFonts w:hint="eastAsia" w:ascii="宋体" w:hAnsi="宋体" w:eastAsia="宋体" w:cs="宋体"/>
                      <w:i w:val="0"/>
                      <w:iCs w:val="0"/>
                      <w:color w:val="auto"/>
                      <w:kern w:val="0"/>
                      <w:sz w:val="22"/>
                      <w:szCs w:val="22"/>
                      <w:u w:val="none"/>
                      <w:lang w:val="en-US" w:eastAsia="zh-CN" w:bidi="ar"/>
                    </w:rPr>
                    <w:t>4</w:t>
                  </w:r>
                </w:p>
              </w:tc>
              <w:tc>
                <w:tcPr>
                  <w:tcW w:w="1995" w:type="pct"/>
                  <w:tcBorders>
                    <w:tl2br w:val="nil"/>
                    <w:tr2bl w:val="nil"/>
                  </w:tcBorders>
                  <w:noWrap/>
                  <w:vAlign w:val="center"/>
                </w:tcPr>
                <w:p w14:paraId="1F8EB6FB">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液压破碎锤</w:t>
                  </w:r>
                </w:p>
              </w:tc>
              <w:tc>
                <w:tcPr>
                  <w:tcW w:w="1148" w:type="pct"/>
                  <w:tcBorders>
                    <w:tl2br w:val="nil"/>
                    <w:tr2bl w:val="nil"/>
                  </w:tcBorders>
                  <w:noWrap/>
                  <w:vAlign w:val="center"/>
                </w:tcPr>
                <w:p w14:paraId="590352B4">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w:t>
                  </w:r>
                </w:p>
              </w:tc>
              <w:tc>
                <w:tcPr>
                  <w:tcW w:w="593" w:type="pct"/>
                  <w:tcBorders>
                    <w:tl2br w:val="nil"/>
                    <w:tr2bl w:val="nil"/>
                  </w:tcBorders>
                  <w:noWrap/>
                  <w:vAlign w:val="center"/>
                </w:tcPr>
                <w:p w14:paraId="6C8E181B">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台</w:t>
                  </w:r>
                </w:p>
              </w:tc>
              <w:tc>
                <w:tcPr>
                  <w:tcW w:w="756" w:type="pct"/>
                  <w:tcBorders>
                    <w:tl2br w:val="nil"/>
                    <w:tr2bl w:val="nil"/>
                  </w:tcBorders>
                  <w:noWrap/>
                  <w:vAlign w:val="center"/>
                </w:tcPr>
                <w:p w14:paraId="1E1CCE9C">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2</w:t>
                  </w:r>
                </w:p>
              </w:tc>
            </w:tr>
            <w:tr w14:paraId="1B903D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06" w:type="pct"/>
                  <w:tcBorders>
                    <w:tl2br w:val="nil"/>
                    <w:tr2bl w:val="nil"/>
                  </w:tcBorders>
                  <w:noWrap/>
                  <w:vAlign w:val="center"/>
                </w:tcPr>
                <w:p w14:paraId="67E62AAA">
                  <w:pPr>
                    <w:keepNext w:val="0"/>
                    <w:keepLines w:val="0"/>
                    <w:widowControl/>
                    <w:suppressLineNumbers w:val="0"/>
                    <w:jc w:val="center"/>
                    <w:textAlignment w:val="center"/>
                    <w:rPr>
                      <w:rFonts w:hint="eastAsia" w:eastAsia="宋体"/>
                      <w:color w:val="auto"/>
                      <w:sz w:val="21"/>
                      <w:szCs w:val="21"/>
                      <w:lang w:val="en-US" w:eastAsia="zh-CN"/>
                    </w:rPr>
                  </w:pPr>
                  <w:r>
                    <w:rPr>
                      <w:rFonts w:hint="eastAsia" w:ascii="宋体" w:hAnsi="宋体" w:eastAsia="宋体" w:cs="宋体"/>
                      <w:i w:val="0"/>
                      <w:iCs w:val="0"/>
                      <w:color w:val="auto"/>
                      <w:kern w:val="0"/>
                      <w:sz w:val="22"/>
                      <w:szCs w:val="22"/>
                      <w:u w:val="none"/>
                      <w:lang w:val="en-US" w:eastAsia="zh-CN" w:bidi="ar"/>
                    </w:rPr>
                    <w:t>5</w:t>
                  </w:r>
                </w:p>
              </w:tc>
              <w:tc>
                <w:tcPr>
                  <w:tcW w:w="1995" w:type="pct"/>
                  <w:tcBorders>
                    <w:tl2br w:val="nil"/>
                    <w:tr2bl w:val="nil"/>
                  </w:tcBorders>
                  <w:noWrap/>
                  <w:vAlign w:val="center"/>
                </w:tcPr>
                <w:p w14:paraId="0BCDBD79">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自卸汽车</w:t>
                  </w:r>
                </w:p>
              </w:tc>
              <w:tc>
                <w:tcPr>
                  <w:tcW w:w="1148" w:type="pct"/>
                  <w:tcBorders>
                    <w:tl2br w:val="nil"/>
                    <w:tr2bl w:val="nil"/>
                  </w:tcBorders>
                  <w:noWrap/>
                  <w:vAlign w:val="center"/>
                </w:tcPr>
                <w:p w14:paraId="6770FCCE">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8t～15t</w:t>
                  </w:r>
                </w:p>
              </w:tc>
              <w:tc>
                <w:tcPr>
                  <w:tcW w:w="593" w:type="pct"/>
                  <w:tcBorders>
                    <w:tl2br w:val="nil"/>
                    <w:tr2bl w:val="nil"/>
                  </w:tcBorders>
                  <w:noWrap/>
                  <w:vAlign w:val="center"/>
                </w:tcPr>
                <w:p w14:paraId="407C881A">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辆</w:t>
                  </w:r>
                </w:p>
              </w:tc>
              <w:tc>
                <w:tcPr>
                  <w:tcW w:w="756" w:type="pct"/>
                  <w:tcBorders>
                    <w:tl2br w:val="nil"/>
                    <w:tr2bl w:val="nil"/>
                  </w:tcBorders>
                  <w:noWrap/>
                  <w:vAlign w:val="center"/>
                </w:tcPr>
                <w:p w14:paraId="33891085">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6</w:t>
                  </w:r>
                </w:p>
              </w:tc>
            </w:tr>
            <w:tr w14:paraId="21F4D7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06" w:type="pct"/>
                  <w:tcBorders>
                    <w:tl2br w:val="nil"/>
                    <w:tr2bl w:val="nil"/>
                  </w:tcBorders>
                  <w:noWrap/>
                  <w:vAlign w:val="center"/>
                </w:tcPr>
                <w:p w14:paraId="239F7011">
                  <w:pPr>
                    <w:keepNext w:val="0"/>
                    <w:keepLines w:val="0"/>
                    <w:widowControl/>
                    <w:suppressLineNumbers w:val="0"/>
                    <w:jc w:val="center"/>
                    <w:textAlignment w:val="center"/>
                    <w:rPr>
                      <w:rFonts w:hint="eastAsia" w:eastAsia="宋体"/>
                      <w:color w:val="auto"/>
                      <w:sz w:val="21"/>
                      <w:szCs w:val="21"/>
                      <w:lang w:val="en-US" w:eastAsia="zh-CN"/>
                    </w:rPr>
                  </w:pPr>
                  <w:r>
                    <w:rPr>
                      <w:rFonts w:hint="eastAsia" w:ascii="宋体" w:hAnsi="宋体" w:eastAsia="宋体" w:cs="宋体"/>
                      <w:i w:val="0"/>
                      <w:iCs w:val="0"/>
                      <w:color w:val="auto"/>
                      <w:kern w:val="0"/>
                      <w:sz w:val="22"/>
                      <w:szCs w:val="22"/>
                      <w:u w:val="none"/>
                      <w:lang w:val="en-US" w:eastAsia="zh-CN" w:bidi="ar"/>
                    </w:rPr>
                    <w:t>6</w:t>
                  </w:r>
                </w:p>
              </w:tc>
              <w:tc>
                <w:tcPr>
                  <w:tcW w:w="1995" w:type="pct"/>
                  <w:tcBorders>
                    <w:tl2br w:val="nil"/>
                    <w:tr2bl w:val="nil"/>
                  </w:tcBorders>
                  <w:noWrap/>
                  <w:vAlign w:val="center"/>
                </w:tcPr>
                <w:p w14:paraId="4A592E38">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汽车起重机</w:t>
                  </w:r>
                </w:p>
              </w:tc>
              <w:tc>
                <w:tcPr>
                  <w:tcW w:w="1148" w:type="pct"/>
                  <w:tcBorders>
                    <w:tl2br w:val="nil"/>
                    <w:tr2bl w:val="nil"/>
                  </w:tcBorders>
                  <w:noWrap/>
                  <w:vAlign w:val="center"/>
                </w:tcPr>
                <w:p w14:paraId="0E50934A">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25t</w:t>
                  </w:r>
                </w:p>
              </w:tc>
              <w:tc>
                <w:tcPr>
                  <w:tcW w:w="593" w:type="pct"/>
                  <w:tcBorders>
                    <w:tl2br w:val="nil"/>
                    <w:tr2bl w:val="nil"/>
                  </w:tcBorders>
                  <w:noWrap/>
                  <w:vAlign w:val="center"/>
                </w:tcPr>
                <w:p w14:paraId="140281A8">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台</w:t>
                  </w:r>
                </w:p>
              </w:tc>
              <w:tc>
                <w:tcPr>
                  <w:tcW w:w="756" w:type="pct"/>
                  <w:tcBorders>
                    <w:tl2br w:val="nil"/>
                    <w:tr2bl w:val="nil"/>
                  </w:tcBorders>
                  <w:noWrap/>
                  <w:vAlign w:val="center"/>
                </w:tcPr>
                <w:p w14:paraId="34F66E61">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2</w:t>
                  </w:r>
                </w:p>
              </w:tc>
            </w:tr>
            <w:tr w14:paraId="3DDD5FF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06" w:type="pct"/>
                  <w:tcBorders>
                    <w:tl2br w:val="nil"/>
                    <w:tr2bl w:val="nil"/>
                  </w:tcBorders>
                  <w:noWrap/>
                  <w:vAlign w:val="center"/>
                </w:tcPr>
                <w:p w14:paraId="1CE1073E">
                  <w:pPr>
                    <w:keepNext w:val="0"/>
                    <w:keepLines w:val="0"/>
                    <w:widowControl/>
                    <w:suppressLineNumbers w:val="0"/>
                    <w:jc w:val="center"/>
                    <w:textAlignment w:val="center"/>
                    <w:rPr>
                      <w:rFonts w:hint="eastAsia" w:eastAsia="宋体"/>
                      <w:color w:val="auto"/>
                      <w:sz w:val="21"/>
                      <w:szCs w:val="21"/>
                      <w:lang w:val="en-US" w:eastAsia="zh-CN"/>
                    </w:rPr>
                  </w:pPr>
                  <w:r>
                    <w:rPr>
                      <w:rFonts w:hint="eastAsia" w:ascii="宋体" w:hAnsi="宋体" w:eastAsia="宋体" w:cs="宋体"/>
                      <w:i w:val="0"/>
                      <w:iCs w:val="0"/>
                      <w:color w:val="auto"/>
                      <w:kern w:val="0"/>
                      <w:sz w:val="22"/>
                      <w:szCs w:val="22"/>
                      <w:u w:val="none"/>
                      <w:lang w:val="en-US" w:eastAsia="zh-CN" w:bidi="ar"/>
                    </w:rPr>
                    <w:t>7</w:t>
                  </w:r>
                </w:p>
              </w:tc>
              <w:tc>
                <w:tcPr>
                  <w:tcW w:w="1995" w:type="pct"/>
                  <w:tcBorders>
                    <w:tl2br w:val="nil"/>
                    <w:tr2bl w:val="nil"/>
                  </w:tcBorders>
                  <w:noWrap/>
                  <w:vAlign w:val="center"/>
                </w:tcPr>
                <w:p w14:paraId="65C46071">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电动卷扬机</w:t>
                  </w:r>
                </w:p>
              </w:tc>
              <w:tc>
                <w:tcPr>
                  <w:tcW w:w="1148" w:type="pct"/>
                  <w:tcBorders>
                    <w:tl2br w:val="nil"/>
                    <w:tr2bl w:val="nil"/>
                  </w:tcBorders>
                  <w:noWrap/>
                  <w:vAlign w:val="center"/>
                </w:tcPr>
                <w:p w14:paraId="150F5E72">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5t</w:t>
                  </w:r>
                </w:p>
              </w:tc>
              <w:tc>
                <w:tcPr>
                  <w:tcW w:w="593" w:type="pct"/>
                  <w:tcBorders>
                    <w:tl2br w:val="nil"/>
                    <w:tr2bl w:val="nil"/>
                  </w:tcBorders>
                  <w:noWrap/>
                  <w:vAlign w:val="center"/>
                </w:tcPr>
                <w:p w14:paraId="658822C9">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台</w:t>
                  </w:r>
                </w:p>
              </w:tc>
              <w:tc>
                <w:tcPr>
                  <w:tcW w:w="756" w:type="pct"/>
                  <w:tcBorders>
                    <w:tl2br w:val="nil"/>
                    <w:tr2bl w:val="nil"/>
                  </w:tcBorders>
                  <w:noWrap/>
                  <w:vAlign w:val="center"/>
                </w:tcPr>
                <w:p w14:paraId="4A27B5E9">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2</w:t>
                  </w:r>
                </w:p>
              </w:tc>
            </w:tr>
            <w:tr w14:paraId="275F7D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06" w:type="pct"/>
                  <w:tcBorders>
                    <w:tl2br w:val="nil"/>
                    <w:tr2bl w:val="nil"/>
                  </w:tcBorders>
                  <w:noWrap/>
                  <w:vAlign w:val="center"/>
                </w:tcPr>
                <w:p w14:paraId="79DC3358">
                  <w:pPr>
                    <w:keepNext w:val="0"/>
                    <w:keepLines w:val="0"/>
                    <w:widowControl/>
                    <w:suppressLineNumbers w:val="0"/>
                    <w:jc w:val="center"/>
                    <w:textAlignment w:val="center"/>
                    <w:rPr>
                      <w:rFonts w:hint="eastAsia" w:eastAsia="宋体"/>
                      <w:color w:val="auto"/>
                      <w:sz w:val="21"/>
                      <w:szCs w:val="21"/>
                      <w:lang w:val="en-US" w:eastAsia="zh-CN"/>
                    </w:rPr>
                  </w:pPr>
                  <w:r>
                    <w:rPr>
                      <w:rFonts w:hint="eastAsia" w:ascii="宋体" w:hAnsi="宋体" w:eastAsia="宋体" w:cs="宋体"/>
                      <w:i w:val="0"/>
                      <w:iCs w:val="0"/>
                      <w:color w:val="auto"/>
                      <w:kern w:val="0"/>
                      <w:sz w:val="22"/>
                      <w:szCs w:val="22"/>
                      <w:u w:val="none"/>
                      <w:lang w:val="en-US" w:eastAsia="zh-CN" w:bidi="ar"/>
                    </w:rPr>
                    <w:t>8</w:t>
                  </w:r>
                </w:p>
              </w:tc>
              <w:tc>
                <w:tcPr>
                  <w:tcW w:w="1995" w:type="pct"/>
                  <w:tcBorders>
                    <w:tl2br w:val="nil"/>
                    <w:tr2bl w:val="nil"/>
                  </w:tcBorders>
                  <w:noWrap/>
                  <w:vAlign w:val="center"/>
                </w:tcPr>
                <w:p w14:paraId="3B5AA396">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蛙式打夯机</w:t>
                  </w:r>
                </w:p>
              </w:tc>
              <w:tc>
                <w:tcPr>
                  <w:tcW w:w="1148" w:type="pct"/>
                  <w:tcBorders>
                    <w:tl2br w:val="nil"/>
                    <w:tr2bl w:val="nil"/>
                  </w:tcBorders>
                  <w:noWrap/>
                  <w:vAlign w:val="center"/>
                </w:tcPr>
                <w:p w14:paraId="5C4AE350">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HW-60</w:t>
                  </w:r>
                </w:p>
              </w:tc>
              <w:tc>
                <w:tcPr>
                  <w:tcW w:w="593" w:type="pct"/>
                  <w:tcBorders>
                    <w:tl2br w:val="nil"/>
                    <w:tr2bl w:val="nil"/>
                  </w:tcBorders>
                  <w:noWrap/>
                  <w:vAlign w:val="center"/>
                </w:tcPr>
                <w:p w14:paraId="41C4D162">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台</w:t>
                  </w:r>
                </w:p>
              </w:tc>
              <w:tc>
                <w:tcPr>
                  <w:tcW w:w="756" w:type="pct"/>
                  <w:tcBorders>
                    <w:tl2br w:val="nil"/>
                    <w:tr2bl w:val="nil"/>
                  </w:tcBorders>
                  <w:noWrap/>
                  <w:vAlign w:val="center"/>
                </w:tcPr>
                <w:p w14:paraId="79805C06">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8</w:t>
                  </w:r>
                </w:p>
              </w:tc>
            </w:tr>
            <w:tr w14:paraId="1493F10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06" w:type="pct"/>
                  <w:tcBorders>
                    <w:tl2br w:val="nil"/>
                    <w:tr2bl w:val="nil"/>
                  </w:tcBorders>
                  <w:noWrap/>
                  <w:vAlign w:val="center"/>
                </w:tcPr>
                <w:p w14:paraId="0EAC9F8D">
                  <w:pPr>
                    <w:keepNext w:val="0"/>
                    <w:keepLines w:val="0"/>
                    <w:widowControl/>
                    <w:suppressLineNumbers w:val="0"/>
                    <w:jc w:val="center"/>
                    <w:textAlignment w:val="center"/>
                    <w:rPr>
                      <w:rFonts w:hint="eastAsia" w:eastAsia="宋体"/>
                      <w:color w:val="auto"/>
                      <w:sz w:val="21"/>
                      <w:szCs w:val="21"/>
                      <w:lang w:val="en-US" w:eastAsia="zh-CN"/>
                    </w:rPr>
                  </w:pPr>
                  <w:r>
                    <w:rPr>
                      <w:rFonts w:hint="eastAsia" w:ascii="宋体" w:hAnsi="宋体" w:eastAsia="宋体" w:cs="宋体"/>
                      <w:i w:val="0"/>
                      <w:iCs w:val="0"/>
                      <w:color w:val="auto"/>
                      <w:kern w:val="0"/>
                      <w:sz w:val="22"/>
                      <w:szCs w:val="22"/>
                      <w:u w:val="none"/>
                      <w:lang w:val="en-US" w:eastAsia="zh-CN" w:bidi="ar"/>
                    </w:rPr>
                    <w:t>9</w:t>
                  </w:r>
                </w:p>
              </w:tc>
              <w:tc>
                <w:tcPr>
                  <w:tcW w:w="1995" w:type="pct"/>
                  <w:tcBorders>
                    <w:tl2br w:val="nil"/>
                    <w:tr2bl w:val="nil"/>
                  </w:tcBorders>
                  <w:noWrap/>
                  <w:vAlign w:val="center"/>
                </w:tcPr>
                <w:p w14:paraId="487EF3F4">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插入式振捣器</w:t>
                  </w:r>
                </w:p>
              </w:tc>
              <w:tc>
                <w:tcPr>
                  <w:tcW w:w="1148" w:type="pct"/>
                  <w:tcBorders>
                    <w:tl2br w:val="nil"/>
                    <w:tr2bl w:val="nil"/>
                  </w:tcBorders>
                  <w:noWrap/>
                  <w:vAlign w:val="center"/>
                </w:tcPr>
                <w:p w14:paraId="20E7CA38">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1.5kW</w:t>
                  </w:r>
                </w:p>
              </w:tc>
              <w:tc>
                <w:tcPr>
                  <w:tcW w:w="593" w:type="pct"/>
                  <w:tcBorders>
                    <w:tl2br w:val="nil"/>
                    <w:tr2bl w:val="nil"/>
                  </w:tcBorders>
                  <w:noWrap/>
                  <w:vAlign w:val="center"/>
                </w:tcPr>
                <w:p w14:paraId="1AEAC5CC">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个</w:t>
                  </w:r>
                </w:p>
              </w:tc>
              <w:tc>
                <w:tcPr>
                  <w:tcW w:w="756" w:type="pct"/>
                  <w:tcBorders>
                    <w:tl2br w:val="nil"/>
                    <w:tr2bl w:val="nil"/>
                  </w:tcBorders>
                  <w:noWrap/>
                  <w:vAlign w:val="center"/>
                </w:tcPr>
                <w:p w14:paraId="559F31AF">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8</w:t>
                  </w:r>
                </w:p>
              </w:tc>
            </w:tr>
            <w:tr w14:paraId="593A42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06" w:type="pct"/>
                  <w:tcBorders>
                    <w:tl2br w:val="nil"/>
                    <w:tr2bl w:val="nil"/>
                  </w:tcBorders>
                  <w:noWrap/>
                  <w:vAlign w:val="center"/>
                </w:tcPr>
                <w:p w14:paraId="7BE1889D">
                  <w:pPr>
                    <w:keepNext w:val="0"/>
                    <w:keepLines w:val="0"/>
                    <w:widowControl/>
                    <w:suppressLineNumbers w:val="0"/>
                    <w:jc w:val="center"/>
                    <w:textAlignment w:val="center"/>
                    <w:rPr>
                      <w:rFonts w:hint="eastAsia"/>
                      <w:color w:val="auto"/>
                      <w:sz w:val="21"/>
                      <w:szCs w:val="21"/>
                      <w:lang w:val="en-US" w:eastAsia="zh-CN"/>
                    </w:rPr>
                  </w:pPr>
                  <w:r>
                    <w:rPr>
                      <w:rFonts w:hint="eastAsia" w:ascii="宋体" w:hAnsi="宋体" w:eastAsia="宋体" w:cs="宋体"/>
                      <w:i w:val="0"/>
                      <w:iCs w:val="0"/>
                      <w:color w:val="auto"/>
                      <w:kern w:val="0"/>
                      <w:sz w:val="22"/>
                      <w:szCs w:val="22"/>
                      <w:u w:val="none"/>
                      <w:lang w:val="en-US" w:eastAsia="zh-CN" w:bidi="ar"/>
                    </w:rPr>
                    <w:t>10</w:t>
                  </w:r>
                </w:p>
              </w:tc>
              <w:tc>
                <w:tcPr>
                  <w:tcW w:w="1995" w:type="pct"/>
                  <w:tcBorders>
                    <w:tl2br w:val="nil"/>
                    <w:tr2bl w:val="nil"/>
                  </w:tcBorders>
                  <w:noWrap/>
                  <w:vAlign w:val="center"/>
                </w:tcPr>
                <w:p w14:paraId="5F1DF707">
                  <w:pPr>
                    <w:keepNext w:val="0"/>
                    <w:keepLines w:val="0"/>
                    <w:widowControl/>
                    <w:suppressLineNumbers w:val="0"/>
                    <w:jc w:val="center"/>
                    <w:textAlignment w:val="center"/>
                    <w:rPr>
                      <w:rFonts w:hint="eastAsia"/>
                      <w:color w:val="auto"/>
                      <w:sz w:val="21"/>
                      <w:szCs w:val="21"/>
                    </w:rPr>
                  </w:pPr>
                  <w:r>
                    <w:rPr>
                      <w:rFonts w:hint="eastAsia" w:ascii="宋体" w:hAnsi="宋体" w:eastAsia="宋体" w:cs="宋体"/>
                      <w:i w:val="0"/>
                      <w:iCs w:val="0"/>
                      <w:color w:val="auto"/>
                      <w:kern w:val="0"/>
                      <w:sz w:val="22"/>
                      <w:szCs w:val="22"/>
                      <w:u w:val="none"/>
                      <w:lang w:val="en-US" w:eastAsia="zh-CN" w:bidi="ar"/>
                    </w:rPr>
                    <w:t>潜水泵</w:t>
                  </w:r>
                </w:p>
              </w:tc>
              <w:tc>
                <w:tcPr>
                  <w:tcW w:w="1148" w:type="pct"/>
                  <w:tcBorders>
                    <w:tl2br w:val="nil"/>
                    <w:tr2bl w:val="nil"/>
                  </w:tcBorders>
                  <w:noWrap/>
                  <w:vAlign w:val="center"/>
                </w:tcPr>
                <w:p w14:paraId="027B081B">
                  <w:pPr>
                    <w:keepNext w:val="0"/>
                    <w:keepLines w:val="0"/>
                    <w:widowControl/>
                    <w:suppressLineNumbers w:val="0"/>
                    <w:jc w:val="center"/>
                    <w:textAlignment w:val="center"/>
                    <w:rPr>
                      <w:rFonts w:hint="eastAsia"/>
                      <w:color w:val="auto"/>
                      <w:sz w:val="21"/>
                      <w:szCs w:val="21"/>
                    </w:rPr>
                  </w:pPr>
                  <w:r>
                    <w:rPr>
                      <w:rFonts w:hint="eastAsia" w:ascii="宋体" w:hAnsi="宋体" w:eastAsia="宋体" w:cs="宋体"/>
                      <w:i w:val="0"/>
                      <w:iCs w:val="0"/>
                      <w:color w:val="auto"/>
                      <w:kern w:val="0"/>
                      <w:sz w:val="22"/>
                      <w:szCs w:val="22"/>
                      <w:u w:val="none"/>
                      <w:lang w:val="en-US" w:eastAsia="zh-CN" w:bidi="ar"/>
                    </w:rPr>
                    <w:t>2.2kW</w:t>
                  </w:r>
                </w:p>
              </w:tc>
              <w:tc>
                <w:tcPr>
                  <w:tcW w:w="593" w:type="pct"/>
                  <w:tcBorders>
                    <w:tl2br w:val="nil"/>
                    <w:tr2bl w:val="nil"/>
                  </w:tcBorders>
                  <w:noWrap/>
                  <w:vAlign w:val="center"/>
                </w:tcPr>
                <w:p w14:paraId="7D196240">
                  <w:pPr>
                    <w:keepNext w:val="0"/>
                    <w:keepLines w:val="0"/>
                    <w:widowControl/>
                    <w:suppressLineNumbers w:val="0"/>
                    <w:jc w:val="center"/>
                    <w:textAlignment w:val="center"/>
                    <w:rPr>
                      <w:rFonts w:hint="eastAsia"/>
                      <w:color w:val="auto"/>
                      <w:sz w:val="21"/>
                      <w:szCs w:val="21"/>
                    </w:rPr>
                  </w:pPr>
                  <w:r>
                    <w:rPr>
                      <w:rFonts w:hint="eastAsia" w:ascii="宋体" w:hAnsi="宋体" w:eastAsia="宋体" w:cs="宋体"/>
                      <w:i w:val="0"/>
                      <w:iCs w:val="0"/>
                      <w:color w:val="auto"/>
                      <w:kern w:val="0"/>
                      <w:sz w:val="22"/>
                      <w:szCs w:val="22"/>
                      <w:u w:val="none"/>
                      <w:lang w:val="en-US" w:eastAsia="zh-CN" w:bidi="ar"/>
                    </w:rPr>
                    <w:t>台</w:t>
                  </w:r>
                </w:p>
              </w:tc>
              <w:tc>
                <w:tcPr>
                  <w:tcW w:w="756" w:type="pct"/>
                  <w:tcBorders>
                    <w:tl2br w:val="nil"/>
                    <w:tr2bl w:val="nil"/>
                  </w:tcBorders>
                  <w:noWrap/>
                  <w:vAlign w:val="center"/>
                </w:tcPr>
                <w:p w14:paraId="40880847">
                  <w:pPr>
                    <w:keepNext w:val="0"/>
                    <w:keepLines w:val="0"/>
                    <w:widowControl/>
                    <w:suppressLineNumbers w:val="0"/>
                    <w:jc w:val="center"/>
                    <w:textAlignment w:val="center"/>
                    <w:rPr>
                      <w:rFonts w:hint="eastAsia"/>
                      <w:color w:val="auto"/>
                      <w:sz w:val="21"/>
                      <w:szCs w:val="21"/>
                    </w:rPr>
                  </w:pPr>
                  <w:r>
                    <w:rPr>
                      <w:rFonts w:hint="eastAsia" w:ascii="宋体" w:hAnsi="宋体" w:eastAsia="宋体" w:cs="宋体"/>
                      <w:i w:val="0"/>
                      <w:iCs w:val="0"/>
                      <w:color w:val="auto"/>
                      <w:kern w:val="0"/>
                      <w:sz w:val="22"/>
                      <w:szCs w:val="22"/>
                      <w:u w:val="none"/>
                      <w:lang w:val="en-US" w:eastAsia="zh-CN" w:bidi="ar"/>
                    </w:rPr>
                    <w:t>4</w:t>
                  </w:r>
                </w:p>
              </w:tc>
            </w:tr>
            <w:tr w14:paraId="1AD2E5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06" w:type="pct"/>
                  <w:tcBorders>
                    <w:tl2br w:val="nil"/>
                    <w:tr2bl w:val="nil"/>
                  </w:tcBorders>
                  <w:noWrap/>
                  <w:vAlign w:val="center"/>
                </w:tcPr>
                <w:p w14:paraId="7169D983">
                  <w:pPr>
                    <w:keepNext w:val="0"/>
                    <w:keepLines w:val="0"/>
                    <w:widowControl/>
                    <w:suppressLineNumbers w:val="0"/>
                    <w:jc w:val="center"/>
                    <w:textAlignment w:val="center"/>
                    <w:rPr>
                      <w:rFonts w:hint="eastAsia"/>
                      <w:color w:val="auto"/>
                      <w:sz w:val="21"/>
                      <w:szCs w:val="21"/>
                      <w:lang w:val="en-US" w:eastAsia="zh-CN"/>
                    </w:rPr>
                  </w:pPr>
                  <w:r>
                    <w:rPr>
                      <w:rFonts w:hint="eastAsia" w:ascii="宋体" w:hAnsi="宋体" w:eastAsia="宋体" w:cs="宋体"/>
                      <w:i w:val="0"/>
                      <w:iCs w:val="0"/>
                      <w:color w:val="auto"/>
                      <w:kern w:val="0"/>
                      <w:sz w:val="22"/>
                      <w:szCs w:val="22"/>
                      <w:u w:val="none"/>
                      <w:lang w:val="en-US" w:eastAsia="zh-CN" w:bidi="ar"/>
                    </w:rPr>
                    <w:t>11</w:t>
                  </w:r>
                </w:p>
              </w:tc>
              <w:tc>
                <w:tcPr>
                  <w:tcW w:w="1995" w:type="pct"/>
                  <w:tcBorders>
                    <w:tl2br w:val="nil"/>
                    <w:tr2bl w:val="nil"/>
                  </w:tcBorders>
                  <w:noWrap/>
                  <w:vAlign w:val="center"/>
                </w:tcPr>
                <w:p w14:paraId="62517818">
                  <w:pPr>
                    <w:keepNext w:val="0"/>
                    <w:keepLines w:val="0"/>
                    <w:widowControl/>
                    <w:suppressLineNumbers w:val="0"/>
                    <w:jc w:val="center"/>
                    <w:textAlignment w:val="center"/>
                    <w:rPr>
                      <w:rFonts w:hint="eastAsia"/>
                      <w:color w:val="auto"/>
                      <w:sz w:val="21"/>
                      <w:szCs w:val="21"/>
                    </w:rPr>
                  </w:pPr>
                  <w:r>
                    <w:rPr>
                      <w:rFonts w:hint="eastAsia" w:ascii="宋体" w:hAnsi="宋体" w:eastAsia="宋体" w:cs="宋体"/>
                      <w:i w:val="0"/>
                      <w:iCs w:val="0"/>
                      <w:color w:val="auto"/>
                      <w:kern w:val="0"/>
                      <w:sz w:val="22"/>
                      <w:szCs w:val="22"/>
                      <w:u w:val="none"/>
                      <w:lang w:val="en-US" w:eastAsia="zh-CN" w:bidi="ar"/>
                    </w:rPr>
                    <w:t>污水泵</w:t>
                  </w:r>
                </w:p>
              </w:tc>
              <w:tc>
                <w:tcPr>
                  <w:tcW w:w="1148" w:type="pct"/>
                  <w:tcBorders>
                    <w:tl2br w:val="nil"/>
                    <w:tr2bl w:val="nil"/>
                  </w:tcBorders>
                  <w:noWrap/>
                  <w:vAlign w:val="center"/>
                </w:tcPr>
                <w:p w14:paraId="0FBAE43E">
                  <w:pPr>
                    <w:keepNext w:val="0"/>
                    <w:keepLines w:val="0"/>
                    <w:widowControl/>
                    <w:suppressLineNumbers w:val="0"/>
                    <w:jc w:val="center"/>
                    <w:textAlignment w:val="center"/>
                    <w:rPr>
                      <w:rFonts w:hint="eastAsia"/>
                      <w:color w:val="auto"/>
                      <w:sz w:val="21"/>
                      <w:szCs w:val="21"/>
                    </w:rPr>
                  </w:pPr>
                  <w:r>
                    <w:rPr>
                      <w:rFonts w:hint="eastAsia" w:ascii="宋体" w:hAnsi="宋体" w:eastAsia="宋体" w:cs="宋体"/>
                      <w:i w:val="0"/>
                      <w:iCs w:val="0"/>
                      <w:color w:val="auto"/>
                      <w:kern w:val="0"/>
                      <w:sz w:val="22"/>
                      <w:szCs w:val="22"/>
                      <w:u w:val="none"/>
                      <w:lang w:val="en-US" w:eastAsia="zh-CN" w:bidi="ar"/>
                    </w:rPr>
                    <w:t>5.6kW</w:t>
                  </w:r>
                </w:p>
              </w:tc>
              <w:tc>
                <w:tcPr>
                  <w:tcW w:w="593" w:type="pct"/>
                  <w:tcBorders>
                    <w:tl2br w:val="nil"/>
                    <w:tr2bl w:val="nil"/>
                  </w:tcBorders>
                  <w:noWrap/>
                  <w:vAlign w:val="center"/>
                </w:tcPr>
                <w:p w14:paraId="54860D8A">
                  <w:pPr>
                    <w:keepNext w:val="0"/>
                    <w:keepLines w:val="0"/>
                    <w:widowControl/>
                    <w:suppressLineNumbers w:val="0"/>
                    <w:jc w:val="center"/>
                    <w:textAlignment w:val="center"/>
                    <w:rPr>
                      <w:rFonts w:hint="eastAsia"/>
                      <w:color w:val="auto"/>
                      <w:sz w:val="21"/>
                      <w:szCs w:val="21"/>
                    </w:rPr>
                  </w:pPr>
                  <w:r>
                    <w:rPr>
                      <w:rFonts w:hint="eastAsia" w:ascii="宋体" w:hAnsi="宋体" w:eastAsia="宋体" w:cs="宋体"/>
                      <w:i w:val="0"/>
                      <w:iCs w:val="0"/>
                      <w:color w:val="auto"/>
                      <w:kern w:val="0"/>
                      <w:sz w:val="22"/>
                      <w:szCs w:val="22"/>
                      <w:u w:val="none"/>
                      <w:lang w:val="en-US" w:eastAsia="zh-CN" w:bidi="ar"/>
                    </w:rPr>
                    <w:t>台</w:t>
                  </w:r>
                </w:p>
              </w:tc>
              <w:tc>
                <w:tcPr>
                  <w:tcW w:w="756" w:type="pct"/>
                  <w:tcBorders>
                    <w:tl2br w:val="nil"/>
                    <w:tr2bl w:val="nil"/>
                  </w:tcBorders>
                  <w:noWrap/>
                  <w:vAlign w:val="center"/>
                </w:tcPr>
                <w:p w14:paraId="170B8829">
                  <w:pPr>
                    <w:keepNext w:val="0"/>
                    <w:keepLines w:val="0"/>
                    <w:widowControl/>
                    <w:suppressLineNumbers w:val="0"/>
                    <w:jc w:val="center"/>
                    <w:textAlignment w:val="center"/>
                    <w:rPr>
                      <w:rFonts w:hint="eastAsia"/>
                      <w:color w:val="auto"/>
                      <w:sz w:val="21"/>
                      <w:szCs w:val="21"/>
                    </w:rPr>
                  </w:pPr>
                  <w:r>
                    <w:rPr>
                      <w:rFonts w:hint="eastAsia" w:ascii="宋体" w:hAnsi="宋体" w:eastAsia="宋体" w:cs="宋体"/>
                      <w:i w:val="0"/>
                      <w:iCs w:val="0"/>
                      <w:color w:val="auto"/>
                      <w:kern w:val="0"/>
                      <w:sz w:val="22"/>
                      <w:szCs w:val="22"/>
                      <w:u w:val="none"/>
                      <w:lang w:val="en-US" w:eastAsia="zh-CN" w:bidi="ar"/>
                    </w:rPr>
                    <w:t>3</w:t>
                  </w:r>
                </w:p>
              </w:tc>
            </w:tr>
            <w:tr w14:paraId="03783B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06" w:type="pct"/>
                  <w:tcBorders>
                    <w:tl2br w:val="nil"/>
                    <w:tr2bl w:val="nil"/>
                  </w:tcBorders>
                  <w:noWrap/>
                  <w:vAlign w:val="center"/>
                </w:tcPr>
                <w:p w14:paraId="1CEFA35B">
                  <w:pPr>
                    <w:keepNext w:val="0"/>
                    <w:keepLines w:val="0"/>
                    <w:widowControl/>
                    <w:suppressLineNumbers w:val="0"/>
                    <w:jc w:val="center"/>
                    <w:textAlignment w:val="center"/>
                    <w:rPr>
                      <w:rFonts w:hint="eastAsia"/>
                      <w:color w:val="auto"/>
                      <w:sz w:val="21"/>
                      <w:szCs w:val="21"/>
                      <w:lang w:val="en-US" w:eastAsia="zh-CN"/>
                    </w:rPr>
                  </w:pPr>
                  <w:r>
                    <w:rPr>
                      <w:rFonts w:hint="eastAsia" w:ascii="宋体" w:hAnsi="宋体" w:eastAsia="宋体" w:cs="宋体"/>
                      <w:i w:val="0"/>
                      <w:iCs w:val="0"/>
                      <w:color w:val="auto"/>
                      <w:kern w:val="0"/>
                      <w:sz w:val="22"/>
                      <w:szCs w:val="22"/>
                      <w:u w:val="none"/>
                      <w:lang w:val="en-US" w:eastAsia="zh-CN" w:bidi="ar"/>
                    </w:rPr>
                    <w:t>12</w:t>
                  </w:r>
                </w:p>
              </w:tc>
              <w:tc>
                <w:tcPr>
                  <w:tcW w:w="1995" w:type="pct"/>
                  <w:tcBorders>
                    <w:tl2br w:val="nil"/>
                    <w:tr2bl w:val="nil"/>
                  </w:tcBorders>
                  <w:noWrap/>
                  <w:vAlign w:val="center"/>
                </w:tcPr>
                <w:p w14:paraId="463A902F">
                  <w:pPr>
                    <w:keepNext w:val="0"/>
                    <w:keepLines w:val="0"/>
                    <w:widowControl/>
                    <w:suppressLineNumbers w:val="0"/>
                    <w:jc w:val="center"/>
                    <w:textAlignment w:val="center"/>
                    <w:rPr>
                      <w:rFonts w:hint="eastAsia"/>
                      <w:color w:val="auto"/>
                      <w:sz w:val="21"/>
                      <w:szCs w:val="21"/>
                    </w:rPr>
                  </w:pPr>
                  <w:r>
                    <w:rPr>
                      <w:rFonts w:hint="eastAsia" w:ascii="宋体" w:hAnsi="宋体" w:eastAsia="宋体" w:cs="宋体"/>
                      <w:i w:val="0"/>
                      <w:iCs w:val="0"/>
                      <w:color w:val="auto"/>
                      <w:kern w:val="0"/>
                      <w:sz w:val="22"/>
                      <w:szCs w:val="22"/>
                      <w:u w:val="none"/>
                      <w:lang w:val="en-US" w:eastAsia="zh-CN" w:bidi="ar"/>
                    </w:rPr>
                    <w:t>泥浆泵</w:t>
                  </w:r>
                </w:p>
              </w:tc>
              <w:tc>
                <w:tcPr>
                  <w:tcW w:w="1148" w:type="pct"/>
                  <w:tcBorders>
                    <w:tl2br w:val="nil"/>
                    <w:tr2bl w:val="nil"/>
                  </w:tcBorders>
                  <w:noWrap/>
                  <w:vAlign w:val="center"/>
                </w:tcPr>
                <w:p w14:paraId="6DE1BBB0">
                  <w:pPr>
                    <w:keepNext w:val="0"/>
                    <w:keepLines w:val="0"/>
                    <w:widowControl/>
                    <w:suppressLineNumbers w:val="0"/>
                    <w:jc w:val="center"/>
                    <w:textAlignment w:val="center"/>
                    <w:rPr>
                      <w:rFonts w:hint="eastAsia"/>
                      <w:color w:val="auto"/>
                      <w:sz w:val="21"/>
                      <w:szCs w:val="21"/>
                    </w:rPr>
                  </w:pPr>
                  <w:r>
                    <w:rPr>
                      <w:rFonts w:hint="eastAsia" w:ascii="宋体" w:hAnsi="宋体" w:eastAsia="宋体" w:cs="宋体"/>
                      <w:i w:val="0"/>
                      <w:iCs w:val="0"/>
                      <w:color w:val="auto"/>
                      <w:kern w:val="0"/>
                      <w:sz w:val="22"/>
                      <w:szCs w:val="22"/>
                      <w:u w:val="none"/>
                      <w:lang w:val="en-US" w:eastAsia="zh-CN" w:bidi="ar"/>
                    </w:rPr>
                    <w:t>7.5kW</w:t>
                  </w:r>
                </w:p>
              </w:tc>
              <w:tc>
                <w:tcPr>
                  <w:tcW w:w="593" w:type="pct"/>
                  <w:tcBorders>
                    <w:tl2br w:val="nil"/>
                    <w:tr2bl w:val="nil"/>
                  </w:tcBorders>
                  <w:noWrap/>
                  <w:vAlign w:val="center"/>
                </w:tcPr>
                <w:p w14:paraId="771619CD">
                  <w:pPr>
                    <w:keepNext w:val="0"/>
                    <w:keepLines w:val="0"/>
                    <w:widowControl/>
                    <w:suppressLineNumbers w:val="0"/>
                    <w:jc w:val="center"/>
                    <w:textAlignment w:val="center"/>
                    <w:rPr>
                      <w:rFonts w:hint="eastAsia"/>
                      <w:color w:val="auto"/>
                      <w:sz w:val="21"/>
                      <w:szCs w:val="21"/>
                    </w:rPr>
                  </w:pPr>
                  <w:r>
                    <w:rPr>
                      <w:rFonts w:hint="eastAsia" w:ascii="宋体" w:hAnsi="宋体" w:eastAsia="宋体" w:cs="宋体"/>
                      <w:i w:val="0"/>
                      <w:iCs w:val="0"/>
                      <w:color w:val="auto"/>
                      <w:kern w:val="0"/>
                      <w:sz w:val="22"/>
                      <w:szCs w:val="22"/>
                      <w:u w:val="none"/>
                      <w:lang w:val="en-US" w:eastAsia="zh-CN" w:bidi="ar"/>
                    </w:rPr>
                    <w:t>台</w:t>
                  </w:r>
                </w:p>
              </w:tc>
              <w:tc>
                <w:tcPr>
                  <w:tcW w:w="756" w:type="pct"/>
                  <w:tcBorders>
                    <w:tl2br w:val="nil"/>
                    <w:tr2bl w:val="nil"/>
                  </w:tcBorders>
                  <w:noWrap/>
                  <w:vAlign w:val="center"/>
                </w:tcPr>
                <w:p w14:paraId="1BC71A3E">
                  <w:pPr>
                    <w:keepNext w:val="0"/>
                    <w:keepLines w:val="0"/>
                    <w:widowControl/>
                    <w:suppressLineNumbers w:val="0"/>
                    <w:jc w:val="center"/>
                    <w:textAlignment w:val="center"/>
                    <w:rPr>
                      <w:rFonts w:hint="eastAsia"/>
                      <w:color w:val="auto"/>
                      <w:sz w:val="21"/>
                      <w:szCs w:val="21"/>
                    </w:rPr>
                  </w:pPr>
                  <w:r>
                    <w:rPr>
                      <w:rFonts w:hint="eastAsia" w:ascii="宋体" w:hAnsi="宋体" w:eastAsia="宋体" w:cs="宋体"/>
                      <w:i w:val="0"/>
                      <w:iCs w:val="0"/>
                      <w:color w:val="auto"/>
                      <w:kern w:val="0"/>
                      <w:sz w:val="22"/>
                      <w:szCs w:val="22"/>
                      <w:u w:val="none"/>
                      <w:lang w:val="en-US" w:eastAsia="zh-CN" w:bidi="ar"/>
                    </w:rPr>
                    <w:t>2</w:t>
                  </w:r>
                </w:p>
              </w:tc>
            </w:tr>
            <w:tr w14:paraId="173135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06" w:type="pct"/>
                  <w:tcBorders>
                    <w:tl2br w:val="nil"/>
                    <w:tr2bl w:val="nil"/>
                  </w:tcBorders>
                  <w:noWrap/>
                  <w:vAlign w:val="center"/>
                </w:tcPr>
                <w:p w14:paraId="37B4E23C">
                  <w:pPr>
                    <w:keepNext w:val="0"/>
                    <w:keepLines w:val="0"/>
                    <w:widowControl/>
                    <w:suppressLineNumbers w:val="0"/>
                    <w:jc w:val="center"/>
                    <w:textAlignment w:val="center"/>
                    <w:rPr>
                      <w:rFonts w:hint="eastAsia"/>
                      <w:color w:val="auto"/>
                      <w:sz w:val="21"/>
                      <w:szCs w:val="21"/>
                      <w:lang w:val="en-US" w:eastAsia="zh-CN"/>
                    </w:rPr>
                  </w:pPr>
                  <w:r>
                    <w:rPr>
                      <w:rFonts w:hint="eastAsia" w:ascii="宋体" w:hAnsi="宋体" w:eastAsia="宋体" w:cs="宋体"/>
                      <w:i w:val="0"/>
                      <w:iCs w:val="0"/>
                      <w:color w:val="auto"/>
                      <w:kern w:val="0"/>
                      <w:sz w:val="22"/>
                      <w:szCs w:val="22"/>
                      <w:u w:val="none"/>
                      <w:lang w:val="en-US" w:eastAsia="zh-CN" w:bidi="ar"/>
                    </w:rPr>
                    <w:t>13</w:t>
                  </w:r>
                </w:p>
              </w:tc>
              <w:tc>
                <w:tcPr>
                  <w:tcW w:w="1995" w:type="pct"/>
                  <w:tcBorders>
                    <w:tl2br w:val="nil"/>
                    <w:tr2bl w:val="nil"/>
                  </w:tcBorders>
                  <w:noWrap/>
                  <w:vAlign w:val="center"/>
                </w:tcPr>
                <w:p w14:paraId="47B0EA0F">
                  <w:pPr>
                    <w:keepNext w:val="0"/>
                    <w:keepLines w:val="0"/>
                    <w:widowControl/>
                    <w:suppressLineNumbers w:val="0"/>
                    <w:jc w:val="center"/>
                    <w:textAlignment w:val="center"/>
                    <w:rPr>
                      <w:rFonts w:hint="eastAsia"/>
                      <w:color w:val="auto"/>
                      <w:sz w:val="21"/>
                      <w:szCs w:val="21"/>
                    </w:rPr>
                  </w:pPr>
                  <w:r>
                    <w:rPr>
                      <w:rFonts w:hint="eastAsia" w:ascii="宋体" w:hAnsi="宋体" w:eastAsia="宋体" w:cs="宋体"/>
                      <w:i w:val="0"/>
                      <w:iCs w:val="0"/>
                      <w:color w:val="auto"/>
                      <w:kern w:val="0"/>
                      <w:sz w:val="22"/>
                      <w:szCs w:val="22"/>
                      <w:u w:val="none"/>
                      <w:lang w:val="en-US" w:eastAsia="zh-CN" w:bidi="ar"/>
                    </w:rPr>
                    <w:t>钢筋加工设备</w:t>
                  </w:r>
                </w:p>
              </w:tc>
              <w:tc>
                <w:tcPr>
                  <w:tcW w:w="1148" w:type="pct"/>
                  <w:tcBorders>
                    <w:tl2br w:val="nil"/>
                    <w:tr2bl w:val="nil"/>
                  </w:tcBorders>
                  <w:noWrap/>
                  <w:vAlign w:val="center"/>
                </w:tcPr>
                <w:p w14:paraId="1E2C23D5">
                  <w:pPr>
                    <w:keepNext w:val="0"/>
                    <w:keepLines w:val="0"/>
                    <w:widowControl/>
                    <w:suppressLineNumbers w:val="0"/>
                    <w:jc w:val="center"/>
                    <w:textAlignment w:val="center"/>
                    <w:rPr>
                      <w:rFonts w:hint="eastAsia"/>
                      <w:color w:val="auto"/>
                      <w:sz w:val="21"/>
                      <w:szCs w:val="21"/>
                    </w:rPr>
                  </w:pPr>
                  <w:r>
                    <w:rPr>
                      <w:rFonts w:hint="eastAsia" w:ascii="宋体" w:hAnsi="宋体" w:eastAsia="宋体" w:cs="宋体"/>
                      <w:i w:val="0"/>
                      <w:iCs w:val="0"/>
                      <w:color w:val="auto"/>
                      <w:kern w:val="0"/>
                      <w:sz w:val="22"/>
                      <w:szCs w:val="22"/>
                      <w:u w:val="none"/>
                      <w:lang w:val="en-US" w:eastAsia="zh-CN" w:bidi="ar"/>
                    </w:rPr>
                    <w:t>5t/班</w:t>
                  </w:r>
                </w:p>
              </w:tc>
              <w:tc>
                <w:tcPr>
                  <w:tcW w:w="593" w:type="pct"/>
                  <w:tcBorders>
                    <w:tl2br w:val="nil"/>
                    <w:tr2bl w:val="nil"/>
                  </w:tcBorders>
                  <w:noWrap/>
                  <w:vAlign w:val="center"/>
                </w:tcPr>
                <w:p w14:paraId="433BD734">
                  <w:pPr>
                    <w:keepNext w:val="0"/>
                    <w:keepLines w:val="0"/>
                    <w:widowControl/>
                    <w:suppressLineNumbers w:val="0"/>
                    <w:jc w:val="center"/>
                    <w:textAlignment w:val="center"/>
                    <w:rPr>
                      <w:rFonts w:hint="eastAsia"/>
                      <w:color w:val="auto"/>
                      <w:sz w:val="21"/>
                      <w:szCs w:val="21"/>
                    </w:rPr>
                  </w:pPr>
                  <w:r>
                    <w:rPr>
                      <w:rFonts w:hint="eastAsia" w:ascii="宋体" w:hAnsi="宋体" w:eastAsia="宋体" w:cs="宋体"/>
                      <w:i w:val="0"/>
                      <w:iCs w:val="0"/>
                      <w:color w:val="auto"/>
                      <w:kern w:val="0"/>
                      <w:sz w:val="22"/>
                      <w:szCs w:val="22"/>
                      <w:u w:val="none"/>
                      <w:lang w:val="en-US" w:eastAsia="zh-CN" w:bidi="ar"/>
                    </w:rPr>
                    <w:t>套</w:t>
                  </w:r>
                </w:p>
              </w:tc>
              <w:tc>
                <w:tcPr>
                  <w:tcW w:w="756" w:type="pct"/>
                  <w:tcBorders>
                    <w:tl2br w:val="nil"/>
                    <w:tr2bl w:val="nil"/>
                  </w:tcBorders>
                  <w:noWrap/>
                  <w:vAlign w:val="center"/>
                </w:tcPr>
                <w:p w14:paraId="1E75A888">
                  <w:pPr>
                    <w:keepNext w:val="0"/>
                    <w:keepLines w:val="0"/>
                    <w:widowControl/>
                    <w:suppressLineNumbers w:val="0"/>
                    <w:jc w:val="center"/>
                    <w:textAlignment w:val="center"/>
                    <w:rPr>
                      <w:rFonts w:hint="eastAsia"/>
                      <w:color w:val="auto"/>
                      <w:sz w:val="21"/>
                      <w:szCs w:val="21"/>
                    </w:rPr>
                  </w:pPr>
                  <w:r>
                    <w:rPr>
                      <w:rFonts w:hint="eastAsia" w:ascii="宋体" w:hAnsi="宋体" w:eastAsia="宋体" w:cs="宋体"/>
                      <w:i w:val="0"/>
                      <w:iCs w:val="0"/>
                      <w:color w:val="auto"/>
                      <w:kern w:val="0"/>
                      <w:sz w:val="22"/>
                      <w:szCs w:val="22"/>
                      <w:u w:val="none"/>
                      <w:lang w:val="en-US" w:eastAsia="zh-CN" w:bidi="ar"/>
                    </w:rPr>
                    <w:t>3</w:t>
                  </w:r>
                </w:p>
              </w:tc>
            </w:tr>
            <w:tr w14:paraId="786534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506" w:type="pct"/>
                  <w:tcBorders>
                    <w:tl2br w:val="nil"/>
                    <w:tr2bl w:val="nil"/>
                  </w:tcBorders>
                  <w:noWrap/>
                  <w:vAlign w:val="center"/>
                </w:tcPr>
                <w:p w14:paraId="7508366C">
                  <w:pPr>
                    <w:keepNext w:val="0"/>
                    <w:keepLines w:val="0"/>
                    <w:widowControl/>
                    <w:suppressLineNumbers w:val="0"/>
                    <w:jc w:val="center"/>
                    <w:textAlignment w:val="center"/>
                    <w:rPr>
                      <w:rFonts w:hint="eastAsia"/>
                      <w:color w:val="auto"/>
                      <w:sz w:val="21"/>
                      <w:szCs w:val="21"/>
                      <w:lang w:val="en-US" w:eastAsia="zh-CN"/>
                    </w:rPr>
                  </w:pPr>
                  <w:r>
                    <w:rPr>
                      <w:rFonts w:hint="eastAsia" w:ascii="宋体" w:hAnsi="宋体" w:eastAsia="宋体" w:cs="宋体"/>
                      <w:i w:val="0"/>
                      <w:iCs w:val="0"/>
                      <w:color w:val="auto"/>
                      <w:kern w:val="0"/>
                      <w:sz w:val="22"/>
                      <w:szCs w:val="22"/>
                      <w:u w:val="none"/>
                      <w:lang w:val="en-US" w:eastAsia="zh-CN" w:bidi="ar"/>
                    </w:rPr>
                    <w:t>14</w:t>
                  </w:r>
                </w:p>
              </w:tc>
              <w:tc>
                <w:tcPr>
                  <w:tcW w:w="1995" w:type="pct"/>
                  <w:tcBorders>
                    <w:tl2br w:val="nil"/>
                    <w:tr2bl w:val="nil"/>
                  </w:tcBorders>
                  <w:noWrap/>
                  <w:vAlign w:val="center"/>
                </w:tcPr>
                <w:p w14:paraId="1AE26069">
                  <w:pPr>
                    <w:keepNext w:val="0"/>
                    <w:keepLines w:val="0"/>
                    <w:widowControl/>
                    <w:suppressLineNumbers w:val="0"/>
                    <w:jc w:val="center"/>
                    <w:textAlignment w:val="center"/>
                    <w:rPr>
                      <w:rFonts w:hint="eastAsia"/>
                      <w:color w:val="auto"/>
                      <w:sz w:val="21"/>
                      <w:szCs w:val="21"/>
                    </w:rPr>
                  </w:pPr>
                  <w:r>
                    <w:rPr>
                      <w:rFonts w:hint="eastAsia" w:ascii="宋体" w:hAnsi="宋体" w:eastAsia="宋体" w:cs="宋体"/>
                      <w:i w:val="0"/>
                      <w:iCs w:val="0"/>
                      <w:color w:val="auto"/>
                      <w:kern w:val="0"/>
                      <w:sz w:val="22"/>
                      <w:szCs w:val="22"/>
                      <w:u w:val="none"/>
                      <w:lang w:val="en-US" w:eastAsia="zh-CN" w:bidi="ar"/>
                    </w:rPr>
                    <w:t>平板运输车</w:t>
                  </w:r>
                </w:p>
              </w:tc>
              <w:tc>
                <w:tcPr>
                  <w:tcW w:w="1148" w:type="pct"/>
                  <w:tcBorders>
                    <w:tl2br w:val="nil"/>
                    <w:tr2bl w:val="nil"/>
                  </w:tcBorders>
                  <w:noWrap/>
                  <w:vAlign w:val="center"/>
                </w:tcPr>
                <w:p w14:paraId="144F1A8B">
                  <w:pPr>
                    <w:keepNext w:val="0"/>
                    <w:keepLines w:val="0"/>
                    <w:widowControl/>
                    <w:suppressLineNumbers w:val="0"/>
                    <w:jc w:val="center"/>
                    <w:textAlignment w:val="center"/>
                    <w:rPr>
                      <w:rFonts w:hint="eastAsia"/>
                      <w:color w:val="auto"/>
                      <w:sz w:val="21"/>
                      <w:szCs w:val="21"/>
                    </w:rPr>
                  </w:pPr>
                  <w:r>
                    <w:rPr>
                      <w:rFonts w:hint="eastAsia" w:ascii="宋体" w:hAnsi="宋体" w:eastAsia="宋体" w:cs="宋体"/>
                      <w:i w:val="0"/>
                      <w:iCs w:val="0"/>
                      <w:color w:val="auto"/>
                      <w:kern w:val="0"/>
                      <w:sz w:val="22"/>
                      <w:szCs w:val="22"/>
                      <w:u w:val="none"/>
                      <w:lang w:val="en-US" w:eastAsia="zh-CN" w:bidi="ar"/>
                    </w:rPr>
                    <w:t>10t</w:t>
                  </w:r>
                </w:p>
              </w:tc>
              <w:tc>
                <w:tcPr>
                  <w:tcW w:w="593" w:type="pct"/>
                  <w:tcBorders>
                    <w:tl2br w:val="nil"/>
                    <w:tr2bl w:val="nil"/>
                  </w:tcBorders>
                  <w:noWrap/>
                  <w:vAlign w:val="center"/>
                </w:tcPr>
                <w:p w14:paraId="1BE52C2E">
                  <w:pPr>
                    <w:keepNext w:val="0"/>
                    <w:keepLines w:val="0"/>
                    <w:widowControl/>
                    <w:suppressLineNumbers w:val="0"/>
                    <w:jc w:val="center"/>
                    <w:textAlignment w:val="center"/>
                    <w:rPr>
                      <w:rFonts w:hint="eastAsia"/>
                      <w:color w:val="auto"/>
                      <w:sz w:val="21"/>
                      <w:szCs w:val="21"/>
                    </w:rPr>
                  </w:pPr>
                  <w:r>
                    <w:rPr>
                      <w:rFonts w:hint="eastAsia" w:ascii="宋体" w:hAnsi="宋体" w:eastAsia="宋体" w:cs="宋体"/>
                      <w:i w:val="0"/>
                      <w:iCs w:val="0"/>
                      <w:color w:val="auto"/>
                      <w:kern w:val="0"/>
                      <w:sz w:val="22"/>
                      <w:szCs w:val="22"/>
                      <w:u w:val="none"/>
                      <w:lang w:val="en-US" w:eastAsia="zh-CN" w:bidi="ar"/>
                    </w:rPr>
                    <w:t>辆</w:t>
                  </w:r>
                </w:p>
              </w:tc>
              <w:tc>
                <w:tcPr>
                  <w:tcW w:w="756" w:type="pct"/>
                  <w:tcBorders>
                    <w:tl2br w:val="nil"/>
                    <w:tr2bl w:val="nil"/>
                  </w:tcBorders>
                  <w:noWrap/>
                  <w:vAlign w:val="center"/>
                </w:tcPr>
                <w:p w14:paraId="0CDC0D08">
                  <w:pPr>
                    <w:keepNext w:val="0"/>
                    <w:keepLines w:val="0"/>
                    <w:widowControl/>
                    <w:suppressLineNumbers w:val="0"/>
                    <w:jc w:val="center"/>
                    <w:textAlignment w:val="center"/>
                    <w:rPr>
                      <w:rFonts w:hint="eastAsia"/>
                      <w:color w:val="auto"/>
                      <w:sz w:val="21"/>
                      <w:szCs w:val="21"/>
                    </w:rPr>
                  </w:pPr>
                  <w:r>
                    <w:rPr>
                      <w:rFonts w:hint="eastAsia" w:ascii="宋体" w:hAnsi="宋体" w:eastAsia="宋体" w:cs="宋体"/>
                      <w:i w:val="0"/>
                      <w:iCs w:val="0"/>
                      <w:color w:val="auto"/>
                      <w:kern w:val="0"/>
                      <w:sz w:val="22"/>
                      <w:szCs w:val="22"/>
                      <w:u w:val="none"/>
                      <w:lang w:val="en-US" w:eastAsia="zh-CN" w:bidi="ar"/>
                    </w:rPr>
                    <w:t>2</w:t>
                  </w:r>
                </w:p>
              </w:tc>
            </w:tr>
          </w:tbl>
          <w:p w14:paraId="68A278E7">
            <w:pPr>
              <w:pStyle w:val="19"/>
              <w:keepNext/>
              <w:keepLines w:val="0"/>
              <w:pageBreakBefore w:val="0"/>
              <w:widowControl w:val="0"/>
              <w:kinsoku/>
              <w:wordWrap/>
              <w:overflowPunct/>
              <w:topLinePunct w:val="0"/>
              <w:autoSpaceDE/>
              <w:autoSpaceDN/>
              <w:bidi w:val="0"/>
              <w:adjustRightInd/>
              <w:snapToGrid/>
              <w:spacing w:before="0"/>
              <w:textAlignment w:val="auto"/>
              <w:rPr>
                <w:rFonts w:hint="eastAsia"/>
                <w:b w:val="0"/>
                <w:bCs/>
                <w:lang w:val="en-US" w:eastAsia="zh-CN"/>
              </w:rPr>
            </w:pPr>
          </w:p>
          <w:p w14:paraId="4451F8A7">
            <w:pPr>
              <w:pStyle w:val="19"/>
              <w:keepNext/>
              <w:keepLines w:val="0"/>
              <w:pageBreakBefore w:val="0"/>
              <w:widowControl w:val="0"/>
              <w:kinsoku/>
              <w:wordWrap/>
              <w:overflowPunct/>
              <w:topLinePunct w:val="0"/>
              <w:autoSpaceDE/>
              <w:autoSpaceDN/>
              <w:bidi w:val="0"/>
              <w:adjustRightInd/>
              <w:snapToGrid/>
              <w:spacing w:before="0"/>
              <w:textAlignment w:val="auto"/>
              <w:rPr>
                <w:rFonts w:hint="default"/>
                <w:b w:val="0"/>
                <w:bCs/>
                <w:lang w:val="en-US" w:eastAsia="zh-CN"/>
              </w:rPr>
            </w:pPr>
            <w:r>
              <w:rPr>
                <w:rFonts w:hint="eastAsia"/>
                <w:b w:val="0"/>
                <w:bCs/>
                <w:lang w:val="en-US" w:eastAsia="zh-CN"/>
              </w:rPr>
              <w:t>表2-10  给水工程主要施工机械表</w:t>
            </w:r>
          </w:p>
          <w:tbl>
            <w:tblPr>
              <w:tblStyle w:val="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33"/>
              <w:gridCol w:w="1881"/>
              <w:gridCol w:w="2140"/>
              <w:gridCol w:w="1134"/>
              <w:gridCol w:w="1606"/>
            </w:tblGrid>
            <w:tr w14:paraId="3ED0710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717" w:type="pct"/>
                  <w:tcBorders>
                    <w:tl2br w:val="nil"/>
                    <w:tr2bl w:val="nil"/>
                  </w:tcBorders>
                  <w:noWrap/>
                  <w:vAlign w:val="center"/>
                </w:tcPr>
                <w:p w14:paraId="026D593E">
                  <w:pPr>
                    <w:spacing w:line="300" w:lineRule="exact"/>
                    <w:ind w:firstLine="0" w:firstLineChars="0"/>
                    <w:jc w:val="center"/>
                    <w:rPr>
                      <w:color w:val="auto"/>
                      <w:sz w:val="21"/>
                      <w:szCs w:val="21"/>
                      <w:lang w:val="zh-CN"/>
                    </w:rPr>
                  </w:pPr>
                  <w:r>
                    <w:rPr>
                      <w:rFonts w:hint="eastAsia"/>
                      <w:color w:val="auto"/>
                      <w:sz w:val="21"/>
                      <w:szCs w:val="21"/>
                      <w:lang w:val="zh-CN"/>
                    </w:rPr>
                    <w:t>序号</w:t>
                  </w:r>
                </w:p>
              </w:tc>
              <w:tc>
                <w:tcPr>
                  <w:tcW w:w="1191" w:type="pct"/>
                  <w:tcBorders>
                    <w:tl2br w:val="nil"/>
                    <w:tr2bl w:val="nil"/>
                  </w:tcBorders>
                  <w:noWrap/>
                  <w:vAlign w:val="center"/>
                </w:tcPr>
                <w:p w14:paraId="4E8B31A4">
                  <w:pPr>
                    <w:spacing w:line="300" w:lineRule="exact"/>
                    <w:ind w:firstLine="0" w:firstLineChars="0"/>
                    <w:jc w:val="center"/>
                    <w:rPr>
                      <w:color w:val="auto"/>
                      <w:sz w:val="21"/>
                      <w:szCs w:val="21"/>
                      <w:lang w:val="zh-CN"/>
                    </w:rPr>
                  </w:pPr>
                  <w:r>
                    <w:rPr>
                      <w:rFonts w:hint="eastAsia"/>
                      <w:color w:val="auto"/>
                      <w:sz w:val="21"/>
                      <w:szCs w:val="21"/>
                      <w:lang w:val="zh-CN"/>
                    </w:rPr>
                    <w:t>名称</w:t>
                  </w:r>
                </w:p>
              </w:tc>
              <w:tc>
                <w:tcPr>
                  <w:tcW w:w="1355" w:type="pct"/>
                  <w:tcBorders>
                    <w:tl2br w:val="nil"/>
                    <w:tr2bl w:val="nil"/>
                  </w:tcBorders>
                  <w:noWrap/>
                  <w:vAlign w:val="center"/>
                </w:tcPr>
                <w:p w14:paraId="37CC5B90">
                  <w:pPr>
                    <w:spacing w:line="300" w:lineRule="exact"/>
                    <w:ind w:firstLine="0" w:firstLineChars="0"/>
                    <w:jc w:val="center"/>
                    <w:rPr>
                      <w:color w:val="auto"/>
                      <w:sz w:val="21"/>
                      <w:szCs w:val="21"/>
                      <w:lang w:val="zh-CN"/>
                    </w:rPr>
                  </w:pPr>
                  <w:r>
                    <w:rPr>
                      <w:rFonts w:hint="eastAsia"/>
                      <w:color w:val="auto"/>
                      <w:sz w:val="21"/>
                      <w:szCs w:val="21"/>
                      <w:lang w:val="zh-CN"/>
                    </w:rPr>
                    <w:t>规格型号</w:t>
                  </w:r>
                </w:p>
              </w:tc>
              <w:tc>
                <w:tcPr>
                  <w:tcW w:w="718" w:type="pct"/>
                  <w:tcBorders>
                    <w:tl2br w:val="nil"/>
                    <w:tr2bl w:val="nil"/>
                  </w:tcBorders>
                  <w:noWrap/>
                  <w:vAlign w:val="center"/>
                </w:tcPr>
                <w:p w14:paraId="217DAD67">
                  <w:pPr>
                    <w:spacing w:line="300" w:lineRule="exact"/>
                    <w:ind w:firstLine="0" w:firstLineChars="0"/>
                    <w:jc w:val="center"/>
                    <w:rPr>
                      <w:color w:val="auto"/>
                      <w:sz w:val="21"/>
                      <w:szCs w:val="21"/>
                      <w:lang w:val="zh-CN"/>
                    </w:rPr>
                  </w:pPr>
                  <w:r>
                    <w:rPr>
                      <w:rFonts w:hint="eastAsia"/>
                      <w:color w:val="auto"/>
                      <w:sz w:val="21"/>
                      <w:szCs w:val="21"/>
                      <w:lang w:val="zh-CN"/>
                    </w:rPr>
                    <w:t>单位</w:t>
                  </w:r>
                </w:p>
              </w:tc>
              <w:tc>
                <w:tcPr>
                  <w:tcW w:w="1016" w:type="pct"/>
                  <w:tcBorders>
                    <w:tl2br w:val="nil"/>
                    <w:tr2bl w:val="nil"/>
                  </w:tcBorders>
                  <w:noWrap/>
                  <w:vAlign w:val="center"/>
                </w:tcPr>
                <w:p w14:paraId="19D4B2D8">
                  <w:pPr>
                    <w:spacing w:line="300" w:lineRule="exact"/>
                    <w:ind w:firstLine="0" w:firstLineChars="0"/>
                    <w:jc w:val="center"/>
                    <w:rPr>
                      <w:color w:val="auto"/>
                      <w:sz w:val="21"/>
                      <w:szCs w:val="21"/>
                      <w:lang w:val="zh-CN"/>
                    </w:rPr>
                  </w:pPr>
                  <w:r>
                    <w:rPr>
                      <w:rFonts w:hint="eastAsia"/>
                      <w:color w:val="auto"/>
                      <w:sz w:val="21"/>
                      <w:szCs w:val="21"/>
                      <w:lang w:val="zh-CN"/>
                    </w:rPr>
                    <w:t>数量</w:t>
                  </w:r>
                </w:p>
              </w:tc>
            </w:tr>
            <w:tr w14:paraId="1CA619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133" w:type="dxa"/>
                  <w:tcBorders>
                    <w:tl2br w:val="nil"/>
                    <w:tr2bl w:val="nil"/>
                  </w:tcBorders>
                  <w:noWrap/>
                  <w:vAlign w:val="center"/>
                </w:tcPr>
                <w:p w14:paraId="28E2398B">
                  <w:pPr>
                    <w:keepNext w:val="0"/>
                    <w:keepLines w:val="0"/>
                    <w:widowControl/>
                    <w:suppressLineNumbers w:val="0"/>
                    <w:jc w:val="center"/>
                    <w:textAlignment w:val="center"/>
                    <w:rPr>
                      <w:rFonts w:hint="eastAsia" w:eastAsia="宋体"/>
                      <w:color w:val="auto"/>
                      <w:sz w:val="21"/>
                      <w:szCs w:val="21"/>
                      <w:lang w:val="en-US" w:eastAsia="zh-CN"/>
                    </w:rPr>
                  </w:pPr>
                  <w:r>
                    <w:rPr>
                      <w:rFonts w:hint="eastAsia" w:ascii="宋体" w:hAnsi="宋体" w:eastAsia="宋体" w:cs="宋体"/>
                      <w:i w:val="0"/>
                      <w:iCs w:val="0"/>
                      <w:color w:val="auto"/>
                      <w:kern w:val="0"/>
                      <w:sz w:val="22"/>
                      <w:szCs w:val="22"/>
                      <w:u w:val="none"/>
                      <w:lang w:val="en-US" w:eastAsia="zh-CN" w:bidi="ar"/>
                    </w:rPr>
                    <w:t>1</w:t>
                  </w:r>
                </w:p>
              </w:tc>
              <w:tc>
                <w:tcPr>
                  <w:tcW w:w="1881" w:type="dxa"/>
                  <w:tcBorders>
                    <w:tl2br w:val="nil"/>
                    <w:tr2bl w:val="nil"/>
                  </w:tcBorders>
                  <w:noWrap/>
                  <w:vAlign w:val="center"/>
                </w:tcPr>
                <w:p w14:paraId="2EB8F683">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反铲挖掘机</w:t>
                  </w:r>
                </w:p>
              </w:tc>
              <w:tc>
                <w:tcPr>
                  <w:tcW w:w="2140" w:type="dxa"/>
                  <w:tcBorders>
                    <w:tl2br w:val="nil"/>
                    <w:tr2bl w:val="nil"/>
                  </w:tcBorders>
                  <w:noWrap/>
                  <w:vAlign w:val="center"/>
                </w:tcPr>
                <w:p w14:paraId="2C622378">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0.6m³～1.0m³</w:t>
                  </w:r>
                </w:p>
              </w:tc>
              <w:tc>
                <w:tcPr>
                  <w:tcW w:w="1134" w:type="dxa"/>
                  <w:tcBorders>
                    <w:tl2br w:val="nil"/>
                    <w:tr2bl w:val="nil"/>
                  </w:tcBorders>
                  <w:noWrap/>
                  <w:vAlign w:val="center"/>
                </w:tcPr>
                <w:p w14:paraId="2CDB9976">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台</w:t>
                  </w:r>
                </w:p>
              </w:tc>
              <w:tc>
                <w:tcPr>
                  <w:tcW w:w="1606" w:type="dxa"/>
                  <w:tcBorders>
                    <w:tl2br w:val="nil"/>
                    <w:tr2bl w:val="nil"/>
                  </w:tcBorders>
                  <w:noWrap/>
                  <w:vAlign w:val="center"/>
                </w:tcPr>
                <w:p w14:paraId="4196CDCC">
                  <w:pPr>
                    <w:keepNext w:val="0"/>
                    <w:keepLines w:val="0"/>
                    <w:widowControl/>
                    <w:suppressLineNumbers w:val="0"/>
                    <w:jc w:val="center"/>
                    <w:textAlignment w:val="center"/>
                    <w:rPr>
                      <w:rFonts w:hint="eastAsia" w:ascii="Times New Roman" w:hAnsi="Times New Roman" w:eastAsia="宋体" w:cs="Times New Roman"/>
                      <w:color w:val="auto"/>
                      <w:kern w:val="2"/>
                      <w:sz w:val="21"/>
                      <w:szCs w:val="21"/>
                      <w:lang w:val="zh-CN" w:eastAsia="zh-CN" w:bidi="ar-SA"/>
                    </w:rPr>
                  </w:pPr>
                  <w:r>
                    <w:rPr>
                      <w:rFonts w:hint="eastAsia" w:ascii="宋体" w:hAnsi="宋体" w:eastAsia="宋体" w:cs="宋体"/>
                      <w:i w:val="0"/>
                      <w:iCs w:val="0"/>
                      <w:color w:val="auto"/>
                      <w:kern w:val="0"/>
                      <w:sz w:val="22"/>
                      <w:szCs w:val="22"/>
                      <w:u w:val="none"/>
                      <w:lang w:val="en-US" w:eastAsia="zh-CN" w:bidi="ar"/>
                    </w:rPr>
                    <w:t>12</w:t>
                  </w:r>
                </w:p>
              </w:tc>
            </w:tr>
            <w:tr w14:paraId="56956C5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133" w:type="dxa"/>
                  <w:tcBorders>
                    <w:tl2br w:val="nil"/>
                    <w:tr2bl w:val="nil"/>
                  </w:tcBorders>
                  <w:noWrap/>
                  <w:vAlign w:val="center"/>
                </w:tcPr>
                <w:p w14:paraId="33B0EC8E">
                  <w:pPr>
                    <w:keepNext w:val="0"/>
                    <w:keepLines w:val="0"/>
                    <w:widowControl/>
                    <w:suppressLineNumbers w:val="0"/>
                    <w:jc w:val="center"/>
                    <w:textAlignment w:val="center"/>
                    <w:rPr>
                      <w:rFonts w:hint="eastAsia" w:eastAsia="宋体"/>
                      <w:color w:val="FF0000"/>
                      <w:sz w:val="21"/>
                      <w:szCs w:val="21"/>
                      <w:lang w:val="en-US" w:eastAsia="zh-CN"/>
                    </w:rPr>
                  </w:pPr>
                  <w:r>
                    <w:rPr>
                      <w:rFonts w:hint="eastAsia" w:ascii="宋体" w:hAnsi="宋体" w:eastAsia="宋体" w:cs="宋体"/>
                      <w:i w:val="0"/>
                      <w:iCs w:val="0"/>
                      <w:color w:val="000000"/>
                      <w:kern w:val="0"/>
                      <w:sz w:val="22"/>
                      <w:szCs w:val="22"/>
                      <w:u w:val="none"/>
                      <w:lang w:val="en-US" w:eastAsia="zh-CN" w:bidi="ar"/>
                    </w:rPr>
                    <w:t>2</w:t>
                  </w:r>
                </w:p>
              </w:tc>
              <w:tc>
                <w:tcPr>
                  <w:tcW w:w="1881" w:type="dxa"/>
                  <w:tcBorders>
                    <w:tl2br w:val="nil"/>
                    <w:tr2bl w:val="nil"/>
                  </w:tcBorders>
                  <w:noWrap/>
                  <w:vAlign w:val="center"/>
                </w:tcPr>
                <w:p w14:paraId="6237A47E">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轮式装载机</w:t>
                  </w:r>
                </w:p>
              </w:tc>
              <w:tc>
                <w:tcPr>
                  <w:tcW w:w="2140" w:type="dxa"/>
                  <w:tcBorders>
                    <w:tl2br w:val="nil"/>
                    <w:tr2bl w:val="nil"/>
                  </w:tcBorders>
                  <w:noWrap/>
                  <w:vAlign w:val="center"/>
                </w:tcPr>
                <w:p w14:paraId="6BE998EE">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2m³</w:t>
                  </w:r>
                </w:p>
              </w:tc>
              <w:tc>
                <w:tcPr>
                  <w:tcW w:w="1134" w:type="dxa"/>
                  <w:tcBorders>
                    <w:tl2br w:val="nil"/>
                    <w:tr2bl w:val="nil"/>
                  </w:tcBorders>
                  <w:noWrap/>
                  <w:vAlign w:val="center"/>
                </w:tcPr>
                <w:p w14:paraId="2A44BB9D">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台</w:t>
                  </w:r>
                </w:p>
              </w:tc>
              <w:tc>
                <w:tcPr>
                  <w:tcW w:w="1606" w:type="dxa"/>
                  <w:tcBorders>
                    <w:tl2br w:val="nil"/>
                    <w:tr2bl w:val="nil"/>
                  </w:tcBorders>
                  <w:noWrap/>
                  <w:vAlign w:val="center"/>
                </w:tcPr>
                <w:p w14:paraId="08539DAB">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4</w:t>
                  </w:r>
                </w:p>
              </w:tc>
            </w:tr>
            <w:tr w14:paraId="235C333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133" w:type="dxa"/>
                  <w:tcBorders>
                    <w:tl2br w:val="nil"/>
                    <w:tr2bl w:val="nil"/>
                  </w:tcBorders>
                  <w:noWrap/>
                  <w:vAlign w:val="center"/>
                </w:tcPr>
                <w:p w14:paraId="5F9DFA89">
                  <w:pPr>
                    <w:keepNext w:val="0"/>
                    <w:keepLines w:val="0"/>
                    <w:widowControl/>
                    <w:suppressLineNumbers w:val="0"/>
                    <w:jc w:val="center"/>
                    <w:textAlignment w:val="center"/>
                    <w:rPr>
                      <w:rFonts w:hint="eastAsia" w:eastAsia="宋体"/>
                      <w:color w:val="FF0000"/>
                      <w:sz w:val="21"/>
                      <w:szCs w:val="21"/>
                      <w:lang w:val="en-US" w:eastAsia="zh-CN"/>
                    </w:rPr>
                  </w:pPr>
                  <w:r>
                    <w:rPr>
                      <w:rFonts w:hint="eastAsia" w:ascii="宋体" w:hAnsi="宋体" w:eastAsia="宋体" w:cs="宋体"/>
                      <w:i w:val="0"/>
                      <w:iCs w:val="0"/>
                      <w:color w:val="000000"/>
                      <w:kern w:val="0"/>
                      <w:sz w:val="22"/>
                      <w:szCs w:val="22"/>
                      <w:u w:val="none"/>
                      <w:lang w:val="en-US" w:eastAsia="zh-CN" w:bidi="ar"/>
                    </w:rPr>
                    <w:t>3</w:t>
                  </w:r>
                </w:p>
              </w:tc>
              <w:tc>
                <w:tcPr>
                  <w:tcW w:w="1881" w:type="dxa"/>
                  <w:tcBorders>
                    <w:tl2br w:val="nil"/>
                    <w:tr2bl w:val="nil"/>
                  </w:tcBorders>
                  <w:noWrap/>
                  <w:vAlign w:val="center"/>
                </w:tcPr>
                <w:p w14:paraId="63860366">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自卸汽车</w:t>
                  </w:r>
                </w:p>
              </w:tc>
              <w:tc>
                <w:tcPr>
                  <w:tcW w:w="2140" w:type="dxa"/>
                  <w:tcBorders>
                    <w:tl2br w:val="nil"/>
                    <w:tr2bl w:val="nil"/>
                  </w:tcBorders>
                  <w:noWrap/>
                  <w:vAlign w:val="center"/>
                </w:tcPr>
                <w:p w14:paraId="29F04CD1">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5t～8t</w:t>
                  </w:r>
                </w:p>
              </w:tc>
              <w:tc>
                <w:tcPr>
                  <w:tcW w:w="1134" w:type="dxa"/>
                  <w:tcBorders>
                    <w:tl2br w:val="nil"/>
                    <w:tr2bl w:val="nil"/>
                  </w:tcBorders>
                  <w:noWrap/>
                  <w:vAlign w:val="center"/>
                </w:tcPr>
                <w:p w14:paraId="7B67E169">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辆</w:t>
                  </w:r>
                </w:p>
              </w:tc>
              <w:tc>
                <w:tcPr>
                  <w:tcW w:w="1606" w:type="dxa"/>
                  <w:tcBorders>
                    <w:tl2br w:val="nil"/>
                    <w:tr2bl w:val="nil"/>
                  </w:tcBorders>
                  <w:noWrap/>
                  <w:vAlign w:val="center"/>
                </w:tcPr>
                <w:p w14:paraId="2673E75B">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8</w:t>
                  </w:r>
                </w:p>
              </w:tc>
            </w:tr>
            <w:tr w14:paraId="76A9CEC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133" w:type="dxa"/>
                  <w:tcBorders>
                    <w:tl2br w:val="nil"/>
                    <w:tr2bl w:val="nil"/>
                  </w:tcBorders>
                  <w:noWrap/>
                  <w:vAlign w:val="center"/>
                </w:tcPr>
                <w:p w14:paraId="43085FCD">
                  <w:pPr>
                    <w:keepNext w:val="0"/>
                    <w:keepLines w:val="0"/>
                    <w:widowControl/>
                    <w:suppressLineNumbers w:val="0"/>
                    <w:jc w:val="center"/>
                    <w:textAlignment w:val="center"/>
                    <w:rPr>
                      <w:rFonts w:hint="eastAsia" w:eastAsia="宋体"/>
                      <w:color w:val="FF0000"/>
                      <w:sz w:val="21"/>
                      <w:szCs w:val="21"/>
                      <w:lang w:val="en-US" w:eastAsia="zh-CN"/>
                    </w:rPr>
                  </w:pPr>
                  <w:r>
                    <w:rPr>
                      <w:rFonts w:hint="eastAsia" w:ascii="宋体" w:hAnsi="宋体" w:eastAsia="宋体" w:cs="宋体"/>
                      <w:i w:val="0"/>
                      <w:iCs w:val="0"/>
                      <w:color w:val="000000"/>
                      <w:kern w:val="0"/>
                      <w:sz w:val="22"/>
                      <w:szCs w:val="22"/>
                      <w:u w:val="none"/>
                      <w:lang w:val="en-US" w:eastAsia="zh-CN" w:bidi="ar"/>
                    </w:rPr>
                    <w:t>4</w:t>
                  </w:r>
                </w:p>
              </w:tc>
              <w:tc>
                <w:tcPr>
                  <w:tcW w:w="1881" w:type="dxa"/>
                  <w:tcBorders>
                    <w:tl2br w:val="nil"/>
                    <w:tr2bl w:val="nil"/>
                  </w:tcBorders>
                  <w:noWrap/>
                  <w:vAlign w:val="center"/>
                </w:tcPr>
                <w:p w14:paraId="2A801FF6">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汽车起重机</w:t>
                  </w:r>
                </w:p>
              </w:tc>
              <w:tc>
                <w:tcPr>
                  <w:tcW w:w="2140" w:type="dxa"/>
                  <w:tcBorders>
                    <w:tl2br w:val="nil"/>
                    <w:tr2bl w:val="nil"/>
                  </w:tcBorders>
                  <w:noWrap/>
                  <w:vAlign w:val="center"/>
                </w:tcPr>
                <w:p w14:paraId="4A971ED8">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16t</w:t>
                  </w:r>
                </w:p>
              </w:tc>
              <w:tc>
                <w:tcPr>
                  <w:tcW w:w="1134" w:type="dxa"/>
                  <w:tcBorders>
                    <w:tl2br w:val="nil"/>
                    <w:tr2bl w:val="nil"/>
                  </w:tcBorders>
                  <w:noWrap/>
                  <w:vAlign w:val="center"/>
                </w:tcPr>
                <w:p w14:paraId="3E421AF7">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台</w:t>
                  </w:r>
                </w:p>
              </w:tc>
              <w:tc>
                <w:tcPr>
                  <w:tcW w:w="1606" w:type="dxa"/>
                  <w:tcBorders>
                    <w:tl2br w:val="nil"/>
                    <w:tr2bl w:val="nil"/>
                  </w:tcBorders>
                  <w:noWrap/>
                  <w:vAlign w:val="center"/>
                </w:tcPr>
                <w:p w14:paraId="00A6A5B3">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3</w:t>
                  </w:r>
                </w:p>
              </w:tc>
            </w:tr>
            <w:tr w14:paraId="2A4D1D6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133" w:type="dxa"/>
                  <w:tcBorders>
                    <w:tl2br w:val="nil"/>
                    <w:tr2bl w:val="nil"/>
                  </w:tcBorders>
                  <w:noWrap/>
                  <w:vAlign w:val="center"/>
                </w:tcPr>
                <w:p w14:paraId="6362A2C4">
                  <w:pPr>
                    <w:keepNext w:val="0"/>
                    <w:keepLines w:val="0"/>
                    <w:widowControl/>
                    <w:suppressLineNumbers w:val="0"/>
                    <w:jc w:val="center"/>
                    <w:textAlignment w:val="center"/>
                    <w:rPr>
                      <w:rFonts w:hint="eastAsia" w:eastAsia="宋体"/>
                      <w:color w:val="FF0000"/>
                      <w:sz w:val="21"/>
                      <w:szCs w:val="21"/>
                      <w:lang w:val="en-US" w:eastAsia="zh-CN"/>
                    </w:rPr>
                  </w:pPr>
                  <w:r>
                    <w:rPr>
                      <w:rFonts w:hint="eastAsia" w:ascii="宋体" w:hAnsi="宋体" w:eastAsia="宋体" w:cs="宋体"/>
                      <w:i w:val="0"/>
                      <w:iCs w:val="0"/>
                      <w:color w:val="000000"/>
                      <w:kern w:val="0"/>
                      <w:sz w:val="22"/>
                      <w:szCs w:val="22"/>
                      <w:u w:val="none"/>
                      <w:lang w:val="en-US" w:eastAsia="zh-CN" w:bidi="ar"/>
                    </w:rPr>
                    <w:t>5</w:t>
                  </w:r>
                </w:p>
              </w:tc>
              <w:tc>
                <w:tcPr>
                  <w:tcW w:w="1881" w:type="dxa"/>
                  <w:tcBorders>
                    <w:tl2br w:val="nil"/>
                    <w:tr2bl w:val="nil"/>
                  </w:tcBorders>
                  <w:noWrap/>
                  <w:vAlign w:val="center"/>
                </w:tcPr>
                <w:p w14:paraId="7CB645DA">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蛙式打夯机</w:t>
                  </w:r>
                </w:p>
              </w:tc>
              <w:tc>
                <w:tcPr>
                  <w:tcW w:w="2140" w:type="dxa"/>
                  <w:tcBorders>
                    <w:tl2br w:val="nil"/>
                    <w:tr2bl w:val="nil"/>
                  </w:tcBorders>
                  <w:noWrap/>
                  <w:vAlign w:val="center"/>
                </w:tcPr>
                <w:p w14:paraId="35D9E56D">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HW-60</w:t>
                  </w:r>
                </w:p>
              </w:tc>
              <w:tc>
                <w:tcPr>
                  <w:tcW w:w="1134" w:type="dxa"/>
                  <w:tcBorders>
                    <w:tl2br w:val="nil"/>
                    <w:tr2bl w:val="nil"/>
                  </w:tcBorders>
                  <w:noWrap/>
                  <w:vAlign w:val="center"/>
                </w:tcPr>
                <w:p w14:paraId="5603B6A5">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台</w:t>
                  </w:r>
                </w:p>
              </w:tc>
              <w:tc>
                <w:tcPr>
                  <w:tcW w:w="1606" w:type="dxa"/>
                  <w:tcBorders>
                    <w:tl2br w:val="nil"/>
                    <w:tr2bl w:val="nil"/>
                  </w:tcBorders>
                  <w:noWrap/>
                  <w:vAlign w:val="center"/>
                </w:tcPr>
                <w:p w14:paraId="7A7A68DC">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10</w:t>
                  </w:r>
                </w:p>
              </w:tc>
            </w:tr>
            <w:tr w14:paraId="143E62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133" w:type="dxa"/>
                  <w:tcBorders>
                    <w:tl2br w:val="nil"/>
                    <w:tr2bl w:val="nil"/>
                  </w:tcBorders>
                  <w:noWrap/>
                  <w:vAlign w:val="center"/>
                </w:tcPr>
                <w:p w14:paraId="16DFC1D7">
                  <w:pPr>
                    <w:keepNext w:val="0"/>
                    <w:keepLines w:val="0"/>
                    <w:widowControl/>
                    <w:suppressLineNumbers w:val="0"/>
                    <w:jc w:val="center"/>
                    <w:textAlignment w:val="center"/>
                    <w:rPr>
                      <w:rFonts w:hint="eastAsia" w:eastAsia="宋体"/>
                      <w:color w:val="FF0000"/>
                      <w:sz w:val="21"/>
                      <w:szCs w:val="21"/>
                      <w:lang w:val="en-US" w:eastAsia="zh-CN"/>
                    </w:rPr>
                  </w:pPr>
                  <w:r>
                    <w:rPr>
                      <w:rFonts w:hint="eastAsia" w:ascii="宋体" w:hAnsi="宋体" w:eastAsia="宋体" w:cs="宋体"/>
                      <w:i w:val="0"/>
                      <w:iCs w:val="0"/>
                      <w:color w:val="000000"/>
                      <w:kern w:val="0"/>
                      <w:sz w:val="22"/>
                      <w:szCs w:val="22"/>
                      <w:u w:val="none"/>
                      <w:lang w:val="en-US" w:eastAsia="zh-CN" w:bidi="ar"/>
                    </w:rPr>
                    <w:t>6</w:t>
                  </w:r>
                </w:p>
              </w:tc>
              <w:tc>
                <w:tcPr>
                  <w:tcW w:w="1881" w:type="dxa"/>
                  <w:tcBorders>
                    <w:tl2br w:val="nil"/>
                    <w:tr2bl w:val="nil"/>
                  </w:tcBorders>
                  <w:noWrap/>
                  <w:vAlign w:val="center"/>
                </w:tcPr>
                <w:p w14:paraId="18FEE787">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插入式振捣器</w:t>
                  </w:r>
                </w:p>
              </w:tc>
              <w:tc>
                <w:tcPr>
                  <w:tcW w:w="2140" w:type="dxa"/>
                  <w:tcBorders>
                    <w:tl2br w:val="nil"/>
                    <w:tr2bl w:val="nil"/>
                  </w:tcBorders>
                  <w:noWrap/>
                  <w:vAlign w:val="center"/>
                </w:tcPr>
                <w:p w14:paraId="0937993B">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1.5kW</w:t>
                  </w:r>
                </w:p>
              </w:tc>
              <w:tc>
                <w:tcPr>
                  <w:tcW w:w="1134" w:type="dxa"/>
                  <w:tcBorders>
                    <w:tl2br w:val="nil"/>
                    <w:tr2bl w:val="nil"/>
                  </w:tcBorders>
                  <w:noWrap/>
                  <w:vAlign w:val="center"/>
                </w:tcPr>
                <w:p w14:paraId="41956C3D">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个</w:t>
                  </w:r>
                </w:p>
              </w:tc>
              <w:tc>
                <w:tcPr>
                  <w:tcW w:w="1606" w:type="dxa"/>
                  <w:tcBorders>
                    <w:tl2br w:val="nil"/>
                    <w:tr2bl w:val="nil"/>
                  </w:tcBorders>
                  <w:noWrap/>
                  <w:vAlign w:val="center"/>
                </w:tcPr>
                <w:p w14:paraId="6BE15109">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5</w:t>
                  </w:r>
                </w:p>
              </w:tc>
            </w:tr>
            <w:tr w14:paraId="4EC409F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133" w:type="dxa"/>
                  <w:tcBorders>
                    <w:tl2br w:val="nil"/>
                    <w:tr2bl w:val="nil"/>
                  </w:tcBorders>
                  <w:noWrap/>
                  <w:vAlign w:val="center"/>
                </w:tcPr>
                <w:p w14:paraId="233B911D">
                  <w:pPr>
                    <w:keepNext w:val="0"/>
                    <w:keepLines w:val="0"/>
                    <w:widowControl/>
                    <w:suppressLineNumbers w:val="0"/>
                    <w:jc w:val="center"/>
                    <w:textAlignment w:val="center"/>
                    <w:rPr>
                      <w:rFonts w:hint="eastAsia" w:eastAsia="宋体"/>
                      <w:color w:val="FF0000"/>
                      <w:sz w:val="21"/>
                      <w:szCs w:val="21"/>
                      <w:lang w:val="en-US" w:eastAsia="zh-CN"/>
                    </w:rPr>
                  </w:pPr>
                  <w:r>
                    <w:rPr>
                      <w:rFonts w:hint="eastAsia" w:ascii="宋体" w:hAnsi="宋体" w:eastAsia="宋体" w:cs="宋体"/>
                      <w:i w:val="0"/>
                      <w:iCs w:val="0"/>
                      <w:color w:val="000000"/>
                      <w:kern w:val="0"/>
                      <w:sz w:val="22"/>
                      <w:szCs w:val="22"/>
                      <w:u w:val="none"/>
                      <w:lang w:val="en-US" w:eastAsia="zh-CN" w:bidi="ar"/>
                    </w:rPr>
                    <w:t>7</w:t>
                  </w:r>
                </w:p>
              </w:tc>
              <w:tc>
                <w:tcPr>
                  <w:tcW w:w="1881" w:type="dxa"/>
                  <w:tcBorders>
                    <w:tl2br w:val="nil"/>
                    <w:tr2bl w:val="nil"/>
                  </w:tcBorders>
                  <w:noWrap/>
                  <w:vAlign w:val="center"/>
                </w:tcPr>
                <w:p w14:paraId="3FB33ED6">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潜水泵</w:t>
                  </w:r>
                </w:p>
              </w:tc>
              <w:tc>
                <w:tcPr>
                  <w:tcW w:w="2140" w:type="dxa"/>
                  <w:tcBorders>
                    <w:tl2br w:val="nil"/>
                    <w:tr2bl w:val="nil"/>
                  </w:tcBorders>
                  <w:noWrap/>
                  <w:vAlign w:val="center"/>
                </w:tcPr>
                <w:p w14:paraId="7D09E40A">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2.2kW</w:t>
                  </w:r>
                </w:p>
              </w:tc>
              <w:tc>
                <w:tcPr>
                  <w:tcW w:w="1134" w:type="dxa"/>
                  <w:tcBorders>
                    <w:tl2br w:val="nil"/>
                    <w:tr2bl w:val="nil"/>
                  </w:tcBorders>
                  <w:noWrap/>
                  <w:vAlign w:val="center"/>
                </w:tcPr>
                <w:p w14:paraId="5A635FE5">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台</w:t>
                  </w:r>
                </w:p>
              </w:tc>
              <w:tc>
                <w:tcPr>
                  <w:tcW w:w="1606" w:type="dxa"/>
                  <w:tcBorders>
                    <w:tl2br w:val="nil"/>
                    <w:tr2bl w:val="nil"/>
                  </w:tcBorders>
                  <w:noWrap/>
                  <w:vAlign w:val="center"/>
                </w:tcPr>
                <w:p w14:paraId="04D705D7">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5</w:t>
                  </w:r>
                </w:p>
              </w:tc>
            </w:tr>
            <w:tr w14:paraId="70766C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133" w:type="dxa"/>
                  <w:tcBorders>
                    <w:tl2br w:val="nil"/>
                    <w:tr2bl w:val="nil"/>
                  </w:tcBorders>
                  <w:noWrap/>
                  <w:vAlign w:val="center"/>
                </w:tcPr>
                <w:p w14:paraId="246C0F53">
                  <w:pPr>
                    <w:keepNext w:val="0"/>
                    <w:keepLines w:val="0"/>
                    <w:widowControl/>
                    <w:suppressLineNumbers w:val="0"/>
                    <w:jc w:val="center"/>
                    <w:textAlignment w:val="center"/>
                    <w:rPr>
                      <w:rFonts w:hint="eastAsia" w:eastAsia="宋体"/>
                      <w:color w:val="FF0000"/>
                      <w:sz w:val="21"/>
                      <w:szCs w:val="21"/>
                      <w:lang w:val="en-US" w:eastAsia="zh-CN"/>
                    </w:rPr>
                  </w:pPr>
                  <w:r>
                    <w:rPr>
                      <w:rFonts w:hint="eastAsia" w:ascii="宋体" w:hAnsi="宋体" w:eastAsia="宋体" w:cs="宋体"/>
                      <w:i w:val="0"/>
                      <w:iCs w:val="0"/>
                      <w:color w:val="000000"/>
                      <w:kern w:val="0"/>
                      <w:sz w:val="22"/>
                      <w:szCs w:val="22"/>
                      <w:u w:val="none"/>
                      <w:lang w:val="en-US" w:eastAsia="zh-CN" w:bidi="ar"/>
                    </w:rPr>
                    <w:t>8</w:t>
                  </w:r>
                </w:p>
              </w:tc>
              <w:tc>
                <w:tcPr>
                  <w:tcW w:w="1881" w:type="dxa"/>
                  <w:tcBorders>
                    <w:tl2br w:val="nil"/>
                    <w:tr2bl w:val="nil"/>
                  </w:tcBorders>
                  <w:noWrap/>
                  <w:vAlign w:val="center"/>
                </w:tcPr>
                <w:p w14:paraId="362D2315">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电焊机</w:t>
                  </w:r>
                </w:p>
              </w:tc>
              <w:tc>
                <w:tcPr>
                  <w:tcW w:w="2140" w:type="dxa"/>
                  <w:tcBorders>
                    <w:tl2br w:val="nil"/>
                    <w:tr2bl w:val="nil"/>
                  </w:tcBorders>
                  <w:noWrap/>
                  <w:vAlign w:val="center"/>
                </w:tcPr>
                <w:p w14:paraId="69F7FA5F">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交流</w:t>
                  </w:r>
                </w:p>
              </w:tc>
              <w:tc>
                <w:tcPr>
                  <w:tcW w:w="1134" w:type="dxa"/>
                  <w:tcBorders>
                    <w:tl2br w:val="nil"/>
                    <w:tr2bl w:val="nil"/>
                  </w:tcBorders>
                  <w:noWrap/>
                  <w:vAlign w:val="center"/>
                </w:tcPr>
                <w:p w14:paraId="45B3745A">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台</w:t>
                  </w:r>
                </w:p>
              </w:tc>
              <w:tc>
                <w:tcPr>
                  <w:tcW w:w="1606" w:type="dxa"/>
                  <w:tcBorders>
                    <w:tl2br w:val="nil"/>
                    <w:tr2bl w:val="nil"/>
                  </w:tcBorders>
                  <w:noWrap/>
                  <w:vAlign w:val="center"/>
                </w:tcPr>
                <w:p w14:paraId="06FEE3A6">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4</w:t>
                  </w:r>
                </w:p>
              </w:tc>
            </w:tr>
            <w:tr w14:paraId="6C3DE6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133" w:type="dxa"/>
                  <w:tcBorders>
                    <w:tl2br w:val="nil"/>
                    <w:tr2bl w:val="nil"/>
                  </w:tcBorders>
                  <w:noWrap/>
                  <w:vAlign w:val="center"/>
                </w:tcPr>
                <w:p w14:paraId="5C00BFA6">
                  <w:pPr>
                    <w:keepNext w:val="0"/>
                    <w:keepLines w:val="0"/>
                    <w:widowControl/>
                    <w:suppressLineNumbers w:val="0"/>
                    <w:jc w:val="center"/>
                    <w:textAlignment w:val="center"/>
                    <w:rPr>
                      <w:rFonts w:hint="eastAsia" w:eastAsia="宋体"/>
                      <w:color w:val="FF0000"/>
                      <w:sz w:val="21"/>
                      <w:szCs w:val="21"/>
                      <w:lang w:val="en-US" w:eastAsia="zh-CN"/>
                    </w:rPr>
                  </w:pPr>
                  <w:r>
                    <w:rPr>
                      <w:rFonts w:hint="eastAsia" w:ascii="宋体" w:hAnsi="宋体" w:eastAsia="宋体" w:cs="宋体"/>
                      <w:i w:val="0"/>
                      <w:iCs w:val="0"/>
                      <w:color w:val="000000"/>
                      <w:kern w:val="0"/>
                      <w:sz w:val="22"/>
                      <w:szCs w:val="22"/>
                      <w:u w:val="none"/>
                      <w:lang w:val="en-US" w:eastAsia="zh-CN" w:bidi="ar"/>
                    </w:rPr>
                    <w:t>9</w:t>
                  </w:r>
                </w:p>
              </w:tc>
              <w:tc>
                <w:tcPr>
                  <w:tcW w:w="1881" w:type="dxa"/>
                  <w:tcBorders>
                    <w:tl2br w:val="nil"/>
                    <w:tr2bl w:val="nil"/>
                  </w:tcBorders>
                  <w:noWrap/>
                  <w:vAlign w:val="center"/>
                </w:tcPr>
                <w:p w14:paraId="48A86F2A">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钢筋加工设备</w:t>
                  </w:r>
                </w:p>
              </w:tc>
              <w:tc>
                <w:tcPr>
                  <w:tcW w:w="2140" w:type="dxa"/>
                  <w:tcBorders>
                    <w:tl2br w:val="nil"/>
                    <w:tr2bl w:val="nil"/>
                  </w:tcBorders>
                  <w:noWrap/>
                  <w:vAlign w:val="center"/>
                </w:tcPr>
                <w:p w14:paraId="744272A5">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小型</w:t>
                  </w:r>
                </w:p>
              </w:tc>
              <w:tc>
                <w:tcPr>
                  <w:tcW w:w="1134" w:type="dxa"/>
                  <w:tcBorders>
                    <w:tl2br w:val="nil"/>
                    <w:tr2bl w:val="nil"/>
                  </w:tcBorders>
                  <w:noWrap/>
                  <w:vAlign w:val="center"/>
                </w:tcPr>
                <w:p w14:paraId="4E9739AF">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套</w:t>
                  </w:r>
                </w:p>
              </w:tc>
              <w:tc>
                <w:tcPr>
                  <w:tcW w:w="1606" w:type="dxa"/>
                  <w:tcBorders>
                    <w:tl2br w:val="nil"/>
                    <w:tr2bl w:val="nil"/>
                  </w:tcBorders>
                  <w:noWrap/>
                  <w:vAlign w:val="center"/>
                </w:tcPr>
                <w:p w14:paraId="2E3BF35D">
                  <w:pPr>
                    <w:keepNext w:val="0"/>
                    <w:keepLines w:val="0"/>
                    <w:widowControl/>
                    <w:suppressLineNumbers w:val="0"/>
                    <w:jc w:val="center"/>
                    <w:textAlignment w:val="center"/>
                    <w:rPr>
                      <w:rFonts w:hint="eastAsia" w:ascii="Times New Roman" w:hAnsi="Times New Roman" w:eastAsia="宋体" w:cs="Times New Roman"/>
                      <w:color w:val="FF0000"/>
                      <w:kern w:val="2"/>
                      <w:sz w:val="21"/>
                      <w:szCs w:val="21"/>
                      <w:lang w:val="zh-CN" w:eastAsia="zh-CN" w:bidi="ar-SA"/>
                    </w:rPr>
                  </w:pPr>
                  <w:r>
                    <w:rPr>
                      <w:rFonts w:hint="eastAsia" w:ascii="宋体" w:hAnsi="宋体" w:eastAsia="宋体" w:cs="宋体"/>
                      <w:i w:val="0"/>
                      <w:iCs w:val="0"/>
                      <w:color w:val="000000"/>
                      <w:kern w:val="0"/>
                      <w:sz w:val="22"/>
                      <w:szCs w:val="22"/>
                      <w:u w:val="none"/>
                      <w:lang w:val="en-US" w:eastAsia="zh-CN" w:bidi="ar"/>
                    </w:rPr>
                    <w:t>2</w:t>
                  </w:r>
                </w:p>
              </w:tc>
            </w:tr>
            <w:tr w14:paraId="7065C8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133" w:type="dxa"/>
                  <w:tcBorders>
                    <w:tl2br w:val="nil"/>
                    <w:tr2bl w:val="nil"/>
                  </w:tcBorders>
                  <w:noWrap/>
                  <w:vAlign w:val="center"/>
                </w:tcPr>
                <w:p w14:paraId="6CFC1E3D">
                  <w:pPr>
                    <w:keepNext w:val="0"/>
                    <w:keepLines w:val="0"/>
                    <w:widowControl/>
                    <w:suppressLineNumbers w:val="0"/>
                    <w:jc w:val="center"/>
                    <w:textAlignment w:val="center"/>
                    <w:rPr>
                      <w:rFonts w:hint="eastAsia"/>
                      <w:color w:val="FF0000"/>
                      <w:sz w:val="21"/>
                      <w:szCs w:val="21"/>
                      <w:lang w:val="en-US" w:eastAsia="zh-CN"/>
                    </w:rPr>
                  </w:pPr>
                  <w:r>
                    <w:rPr>
                      <w:rFonts w:hint="eastAsia" w:ascii="宋体" w:hAnsi="宋体" w:eastAsia="宋体" w:cs="宋体"/>
                      <w:i w:val="0"/>
                      <w:iCs w:val="0"/>
                      <w:color w:val="000000"/>
                      <w:kern w:val="0"/>
                      <w:sz w:val="22"/>
                      <w:szCs w:val="22"/>
                      <w:u w:val="none"/>
                      <w:lang w:val="en-US" w:eastAsia="zh-CN" w:bidi="ar"/>
                    </w:rPr>
                    <w:t>10</w:t>
                  </w:r>
                </w:p>
              </w:tc>
              <w:tc>
                <w:tcPr>
                  <w:tcW w:w="1881" w:type="dxa"/>
                  <w:tcBorders>
                    <w:tl2br w:val="nil"/>
                    <w:tr2bl w:val="nil"/>
                  </w:tcBorders>
                  <w:noWrap/>
                  <w:vAlign w:val="center"/>
                </w:tcPr>
                <w:p w14:paraId="4EB5B979">
                  <w:pPr>
                    <w:keepNext w:val="0"/>
                    <w:keepLines w:val="0"/>
                    <w:widowControl/>
                    <w:suppressLineNumbers w:val="0"/>
                    <w:jc w:val="center"/>
                    <w:textAlignment w:val="center"/>
                    <w:rPr>
                      <w:rFonts w:hint="eastAsia"/>
                      <w:color w:val="FF0000"/>
                      <w:sz w:val="21"/>
                      <w:szCs w:val="21"/>
                    </w:rPr>
                  </w:pPr>
                  <w:r>
                    <w:rPr>
                      <w:rFonts w:hint="eastAsia" w:ascii="宋体" w:hAnsi="宋体" w:eastAsia="宋体" w:cs="宋体"/>
                      <w:i w:val="0"/>
                      <w:iCs w:val="0"/>
                      <w:color w:val="000000"/>
                      <w:kern w:val="0"/>
                      <w:sz w:val="22"/>
                      <w:szCs w:val="22"/>
                      <w:u w:val="none"/>
                      <w:lang w:val="en-US" w:eastAsia="zh-CN" w:bidi="ar"/>
                    </w:rPr>
                    <w:t>试压泵</w:t>
                  </w:r>
                </w:p>
              </w:tc>
              <w:tc>
                <w:tcPr>
                  <w:tcW w:w="2140" w:type="dxa"/>
                  <w:tcBorders>
                    <w:tl2br w:val="nil"/>
                    <w:tr2bl w:val="nil"/>
                  </w:tcBorders>
                  <w:noWrap/>
                  <w:vAlign w:val="center"/>
                </w:tcPr>
                <w:p w14:paraId="4354E7EB">
                  <w:pPr>
                    <w:keepNext w:val="0"/>
                    <w:keepLines w:val="0"/>
                    <w:widowControl/>
                    <w:suppressLineNumbers w:val="0"/>
                    <w:jc w:val="center"/>
                    <w:textAlignment w:val="center"/>
                    <w:rPr>
                      <w:rFonts w:hint="eastAsia"/>
                      <w:color w:val="FF0000"/>
                      <w:sz w:val="21"/>
                      <w:szCs w:val="21"/>
                    </w:rPr>
                  </w:pPr>
                  <w:r>
                    <w:rPr>
                      <w:rFonts w:hint="eastAsia" w:ascii="宋体" w:hAnsi="宋体" w:eastAsia="宋体" w:cs="宋体"/>
                      <w:i w:val="0"/>
                      <w:iCs w:val="0"/>
                      <w:color w:val="000000"/>
                      <w:kern w:val="0"/>
                      <w:sz w:val="22"/>
                      <w:szCs w:val="22"/>
                      <w:u w:val="none"/>
                      <w:lang w:val="en-US" w:eastAsia="zh-CN" w:bidi="ar"/>
                    </w:rPr>
                    <w:t>/</w:t>
                  </w:r>
                </w:p>
              </w:tc>
              <w:tc>
                <w:tcPr>
                  <w:tcW w:w="1134" w:type="dxa"/>
                  <w:tcBorders>
                    <w:tl2br w:val="nil"/>
                    <w:tr2bl w:val="nil"/>
                  </w:tcBorders>
                  <w:noWrap/>
                  <w:vAlign w:val="center"/>
                </w:tcPr>
                <w:p w14:paraId="242F0EA5">
                  <w:pPr>
                    <w:keepNext w:val="0"/>
                    <w:keepLines w:val="0"/>
                    <w:widowControl/>
                    <w:suppressLineNumbers w:val="0"/>
                    <w:jc w:val="center"/>
                    <w:textAlignment w:val="center"/>
                    <w:rPr>
                      <w:rFonts w:hint="eastAsia"/>
                      <w:color w:val="FF0000"/>
                      <w:sz w:val="21"/>
                      <w:szCs w:val="21"/>
                    </w:rPr>
                  </w:pPr>
                  <w:r>
                    <w:rPr>
                      <w:rFonts w:hint="eastAsia" w:ascii="宋体" w:hAnsi="宋体" w:eastAsia="宋体" w:cs="宋体"/>
                      <w:i w:val="0"/>
                      <w:iCs w:val="0"/>
                      <w:color w:val="000000"/>
                      <w:kern w:val="0"/>
                      <w:sz w:val="22"/>
                      <w:szCs w:val="22"/>
                      <w:u w:val="none"/>
                      <w:lang w:val="en-US" w:eastAsia="zh-CN" w:bidi="ar"/>
                    </w:rPr>
                    <w:t>台</w:t>
                  </w:r>
                </w:p>
              </w:tc>
              <w:tc>
                <w:tcPr>
                  <w:tcW w:w="1606" w:type="dxa"/>
                  <w:tcBorders>
                    <w:tl2br w:val="nil"/>
                    <w:tr2bl w:val="nil"/>
                  </w:tcBorders>
                  <w:noWrap/>
                  <w:vAlign w:val="center"/>
                </w:tcPr>
                <w:p w14:paraId="24308252">
                  <w:pPr>
                    <w:keepNext w:val="0"/>
                    <w:keepLines w:val="0"/>
                    <w:widowControl/>
                    <w:suppressLineNumbers w:val="0"/>
                    <w:jc w:val="center"/>
                    <w:textAlignment w:val="center"/>
                    <w:rPr>
                      <w:rFonts w:hint="eastAsia"/>
                      <w:color w:val="FF0000"/>
                      <w:sz w:val="21"/>
                      <w:szCs w:val="21"/>
                    </w:rPr>
                  </w:pPr>
                  <w:r>
                    <w:rPr>
                      <w:rFonts w:hint="eastAsia" w:ascii="宋体" w:hAnsi="宋体" w:eastAsia="宋体" w:cs="宋体"/>
                      <w:i w:val="0"/>
                      <w:iCs w:val="0"/>
                      <w:color w:val="000000"/>
                      <w:kern w:val="0"/>
                      <w:sz w:val="22"/>
                      <w:szCs w:val="22"/>
                      <w:u w:val="none"/>
                      <w:lang w:val="en-US" w:eastAsia="zh-CN" w:bidi="ar"/>
                    </w:rPr>
                    <w:t>2</w:t>
                  </w:r>
                </w:p>
              </w:tc>
            </w:tr>
            <w:tr w14:paraId="3DE122A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1133" w:type="dxa"/>
                  <w:tcBorders>
                    <w:tl2br w:val="nil"/>
                    <w:tr2bl w:val="nil"/>
                  </w:tcBorders>
                  <w:noWrap/>
                  <w:vAlign w:val="center"/>
                </w:tcPr>
                <w:p w14:paraId="1967CBCE">
                  <w:pPr>
                    <w:keepNext w:val="0"/>
                    <w:keepLines w:val="0"/>
                    <w:widowControl/>
                    <w:suppressLineNumbers w:val="0"/>
                    <w:jc w:val="center"/>
                    <w:textAlignment w:val="center"/>
                    <w:rPr>
                      <w:rFonts w:hint="eastAsia"/>
                      <w:color w:val="FF0000"/>
                      <w:sz w:val="21"/>
                      <w:szCs w:val="21"/>
                      <w:lang w:val="en-US" w:eastAsia="zh-CN"/>
                    </w:rPr>
                  </w:pPr>
                  <w:r>
                    <w:rPr>
                      <w:rFonts w:hint="eastAsia" w:ascii="宋体" w:hAnsi="宋体" w:eastAsia="宋体" w:cs="宋体"/>
                      <w:i w:val="0"/>
                      <w:iCs w:val="0"/>
                      <w:color w:val="000000"/>
                      <w:kern w:val="0"/>
                      <w:sz w:val="22"/>
                      <w:szCs w:val="22"/>
                      <w:u w:val="none"/>
                      <w:lang w:val="en-US" w:eastAsia="zh-CN" w:bidi="ar"/>
                    </w:rPr>
                    <w:t>11</w:t>
                  </w:r>
                </w:p>
              </w:tc>
              <w:tc>
                <w:tcPr>
                  <w:tcW w:w="1881" w:type="dxa"/>
                  <w:tcBorders>
                    <w:tl2br w:val="nil"/>
                    <w:tr2bl w:val="nil"/>
                  </w:tcBorders>
                  <w:noWrap/>
                  <w:vAlign w:val="center"/>
                </w:tcPr>
                <w:p w14:paraId="143F9B04">
                  <w:pPr>
                    <w:keepNext w:val="0"/>
                    <w:keepLines w:val="0"/>
                    <w:widowControl/>
                    <w:suppressLineNumbers w:val="0"/>
                    <w:jc w:val="center"/>
                    <w:textAlignment w:val="center"/>
                    <w:rPr>
                      <w:rFonts w:hint="eastAsia"/>
                      <w:color w:val="FF0000"/>
                      <w:sz w:val="21"/>
                      <w:szCs w:val="21"/>
                    </w:rPr>
                  </w:pPr>
                  <w:r>
                    <w:rPr>
                      <w:rFonts w:hint="eastAsia" w:ascii="宋体" w:hAnsi="宋体" w:eastAsia="宋体" w:cs="宋体"/>
                      <w:i w:val="0"/>
                      <w:iCs w:val="0"/>
                      <w:color w:val="000000"/>
                      <w:kern w:val="0"/>
                      <w:sz w:val="22"/>
                      <w:szCs w:val="22"/>
                      <w:u w:val="none"/>
                      <w:lang w:val="en-US" w:eastAsia="zh-CN" w:bidi="ar"/>
                    </w:rPr>
                    <w:t>平板运输车</w:t>
                  </w:r>
                </w:p>
              </w:tc>
              <w:tc>
                <w:tcPr>
                  <w:tcW w:w="2140" w:type="dxa"/>
                  <w:tcBorders>
                    <w:tl2br w:val="nil"/>
                    <w:tr2bl w:val="nil"/>
                  </w:tcBorders>
                  <w:noWrap/>
                  <w:vAlign w:val="center"/>
                </w:tcPr>
                <w:p w14:paraId="3751D260">
                  <w:pPr>
                    <w:keepNext w:val="0"/>
                    <w:keepLines w:val="0"/>
                    <w:widowControl/>
                    <w:suppressLineNumbers w:val="0"/>
                    <w:jc w:val="center"/>
                    <w:textAlignment w:val="center"/>
                    <w:rPr>
                      <w:rFonts w:hint="eastAsia"/>
                      <w:color w:val="FF0000"/>
                      <w:sz w:val="21"/>
                      <w:szCs w:val="21"/>
                    </w:rPr>
                  </w:pPr>
                  <w:r>
                    <w:rPr>
                      <w:rFonts w:hint="eastAsia" w:ascii="宋体" w:hAnsi="宋体" w:eastAsia="宋体" w:cs="宋体"/>
                      <w:i w:val="0"/>
                      <w:iCs w:val="0"/>
                      <w:color w:val="000000"/>
                      <w:kern w:val="0"/>
                      <w:sz w:val="22"/>
                      <w:szCs w:val="22"/>
                      <w:u w:val="none"/>
                      <w:lang w:val="en-US" w:eastAsia="zh-CN" w:bidi="ar"/>
                    </w:rPr>
                    <w:t>5t</w:t>
                  </w:r>
                </w:p>
              </w:tc>
              <w:tc>
                <w:tcPr>
                  <w:tcW w:w="1134" w:type="dxa"/>
                  <w:tcBorders>
                    <w:tl2br w:val="nil"/>
                    <w:tr2bl w:val="nil"/>
                  </w:tcBorders>
                  <w:noWrap/>
                  <w:vAlign w:val="center"/>
                </w:tcPr>
                <w:p w14:paraId="601EB922">
                  <w:pPr>
                    <w:keepNext w:val="0"/>
                    <w:keepLines w:val="0"/>
                    <w:widowControl/>
                    <w:suppressLineNumbers w:val="0"/>
                    <w:jc w:val="center"/>
                    <w:textAlignment w:val="center"/>
                    <w:rPr>
                      <w:rFonts w:hint="eastAsia"/>
                      <w:color w:val="FF0000"/>
                      <w:sz w:val="21"/>
                      <w:szCs w:val="21"/>
                    </w:rPr>
                  </w:pPr>
                  <w:r>
                    <w:rPr>
                      <w:rFonts w:hint="eastAsia" w:ascii="宋体" w:hAnsi="宋体" w:eastAsia="宋体" w:cs="宋体"/>
                      <w:i w:val="0"/>
                      <w:iCs w:val="0"/>
                      <w:color w:val="000000"/>
                      <w:kern w:val="0"/>
                      <w:sz w:val="22"/>
                      <w:szCs w:val="22"/>
                      <w:u w:val="none"/>
                      <w:lang w:val="en-US" w:eastAsia="zh-CN" w:bidi="ar"/>
                    </w:rPr>
                    <w:t>辆</w:t>
                  </w:r>
                </w:p>
              </w:tc>
              <w:tc>
                <w:tcPr>
                  <w:tcW w:w="1606" w:type="dxa"/>
                  <w:tcBorders>
                    <w:tl2br w:val="nil"/>
                    <w:tr2bl w:val="nil"/>
                  </w:tcBorders>
                  <w:noWrap/>
                  <w:vAlign w:val="center"/>
                </w:tcPr>
                <w:p w14:paraId="10C67458">
                  <w:pPr>
                    <w:keepNext w:val="0"/>
                    <w:keepLines w:val="0"/>
                    <w:widowControl/>
                    <w:suppressLineNumbers w:val="0"/>
                    <w:jc w:val="center"/>
                    <w:textAlignment w:val="center"/>
                    <w:rPr>
                      <w:rFonts w:hint="eastAsia"/>
                      <w:color w:val="FF0000"/>
                      <w:sz w:val="21"/>
                      <w:szCs w:val="21"/>
                    </w:rPr>
                  </w:pPr>
                  <w:r>
                    <w:rPr>
                      <w:rFonts w:hint="eastAsia" w:ascii="宋体" w:hAnsi="宋体" w:eastAsia="宋体" w:cs="宋体"/>
                      <w:i w:val="0"/>
                      <w:iCs w:val="0"/>
                      <w:color w:val="000000"/>
                      <w:kern w:val="0"/>
                      <w:sz w:val="22"/>
                      <w:szCs w:val="22"/>
                      <w:u w:val="none"/>
                      <w:lang w:val="en-US" w:eastAsia="zh-CN" w:bidi="ar"/>
                    </w:rPr>
                    <w:t>3</w:t>
                  </w:r>
                </w:p>
              </w:tc>
            </w:tr>
          </w:tbl>
          <w:p w14:paraId="456FF2BE">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宋体" w:hAnsi="宋体" w:cs="宋体"/>
                <w:b/>
                <w:bCs/>
                <w:color w:val="auto"/>
                <w:sz w:val="24"/>
                <w:szCs w:val="24"/>
                <w:lang w:val="en-US" w:eastAsia="zh-CN"/>
              </w:rPr>
            </w:pPr>
            <w:r>
              <w:rPr>
                <w:rFonts w:hint="eastAsia" w:ascii="宋体" w:hAnsi="宋体" w:cs="宋体"/>
                <w:b/>
                <w:bCs/>
                <w:color w:val="auto"/>
                <w:sz w:val="24"/>
                <w:szCs w:val="24"/>
                <w:lang w:val="en-US" w:eastAsia="zh-CN"/>
              </w:rPr>
              <w:t>5、设计标准</w:t>
            </w:r>
          </w:p>
          <w:p w14:paraId="48DEF40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w:t>
            </w:r>
            <w:r>
              <w:rPr>
                <w:rFonts w:hint="eastAsia" w:ascii="宋体" w:hAnsi="宋体" w:cs="宋体"/>
                <w:color w:val="auto"/>
                <w:sz w:val="24"/>
                <w:szCs w:val="24"/>
                <w:lang w:val="en-US" w:eastAsia="zh-CN"/>
              </w:rPr>
              <w:t>1</w:t>
            </w:r>
            <w:r>
              <w:rPr>
                <w:rFonts w:hint="eastAsia" w:ascii="宋体" w:hAnsi="宋体" w:eastAsia="宋体" w:cs="宋体"/>
                <w:color w:val="auto"/>
                <w:sz w:val="24"/>
                <w:szCs w:val="24"/>
                <w:lang w:val="en-US" w:eastAsia="zh-CN"/>
              </w:rPr>
              <w:t>）</w:t>
            </w:r>
            <w:r>
              <w:rPr>
                <w:rFonts w:hint="eastAsia" w:ascii="宋体" w:hAnsi="宋体" w:cs="宋体"/>
                <w:color w:val="auto"/>
                <w:sz w:val="24"/>
                <w:szCs w:val="24"/>
                <w:lang w:val="en-US" w:eastAsia="zh-CN"/>
              </w:rPr>
              <w:t>防洪除涝工程</w:t>
            </w:r>
          </w:p>
          <w:p w14:paraId="0DEC543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eastAsia="宋体" w:cs="宋体"/>
                <w:color w:val="auto"/>
                <w:sz w:val="24"/>
                <w:szCs w:val="24"/>
                <w:lang w:val="en-US" w:eastAsia="zh-CN"/>
              </w:rPr>
              <w:t>①</w:t>
            </w:r>
            <w:r>
              <w:rPr>
                <w:rFonts w:hint="eastAsia" w:ascii="宋体" w:hAnsi="宋体" w:cs="宋体"/>
                <w:color w:val="auto"/>
                <w:sz w:val="24"/>
                <w:szCs w:val="24"/>
                <w:lang w:val="en-US" w:eastAsia="zh-CN"/>
              </w:rPr>
              <w:t>根据初步设计说明，岳阳市排水系统存在两个不同层级的设计标准（重现期）：</w:t>
            </w:r>
          </w:p>
          <w:p w14:paraId="17FAF514">
            <w:pPr>
              <w:pStyle w:val="19"/>
              <w:keepNext/>
              <w:keepLines w:val="0"/>
              <w:pageBreakBefore w:val="0"/>
              <w:widowControl w:val="0"/>
              <w:kinsoku/>
              <w:wordWrap/>
              <w:overflowPunct/>
              <w:topLinePunct w:val="0"/>
              <w:autoSpaceDE/>
              <w:autoSpaceDN/>
              <w:bidi w:val="0"/>
              <w:adjustRightInd/>
              <w:snapToGrid/>
              <w:spacing w:before="0"/>
              <w:textAlignment w:val="auto"/>
              <w:rPr>
                <w:rFonts w:hint="default"/>
                <w:b w:val="0"/>
                <w:bCs/>
                <w:lang w:val="en-US" w:eastAsia="zh-CN"/>
              </w:rPr>
            </w:pPr>
            <w:r>
              <w:rPr>
                <w:rFonts w:hint="eastAsia"/>
                <w:b w:val="0"/>
                <w:bCs/>
                <w:lang w:val="en-US" w:eastAsia="zh-CN"/>
              </w:rPr>
              <w:t>表2-11  项目设计标准</w:t>
            </w:r>
          </w:p>
          <w:tbl>
            <w:tblPr>
              <w:tblStyle w:val="9"/>
              <w:tblW w:w="7937"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1915"/>
              <w:gridCol w:w="1662"/>
              <w:gridCol w:w="1650"/>
              <w:gridCol w:w="2710"/>
            </w:tblGrid>
            <w:tr w14:paraId="58D6F37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1915" w:type="dxa"/>
                  <w:tcBorders>
                    <w:tl2br w:val="nil"/>
                    <w:tr2bl w:val="nil"/>
                  </w:tcBorders>
                  <w:shd w:val="clear" w:color="auto" w:fill="auto"/>
                  <w:vAlign w:val="center"/>
                </w:tcPr>
                <w:p w14:paraId="20ABF562">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标准类型</w:t>
                  </w:r>
                </w:p>
              </w:tc>
              <w:tc>
                <w:tcPr>
                  <w:tcW w:w="1662" w:type="dxa"/>
                  <w:tcBorders>
                    <w:tl2br w:val="nil"/>
                    <w:tr2bl w:val="nil"/>
                  </w:tcBorders>
                  <w:shd w:val="clear" w:color="auto" w:fill="auto"/>
                  <w:vAlign w:val="center"/>
                </w:tcPr>
                <w:p w14:paraId="749BCBDA">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设计重现期</w:t>
                  </w:r>
                </w:p>
              </w:tc>
              <w:tc>
                <w:tcPr>
                  <w:tcW w:w="1650" w:type="dxa"/>
                  <w:tcBorders>
                    <w:tl2br w:val="nil"/>
                    <w:tr2bl w:val="nil"/>
                  </w:tcBorders>
                  <w:shd w:val="clear" w:color="auto" w:fill="auto"/>
                  <w:vAlign w:val="center"/>
                </w:tcPr>
                <w:p w14:paraId="51252BB1">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适用对象</w:t>
                  </w:r>
                </w:p>
              </w:tc>
              <w:tc>
                <w:tcPr>
                  <w:tcW w:w="2710" w:type="dxa"/>
                  <w:tcBorders>
                    <w:tl2br w:val="nil"/>
                    <w:tr2bl w:val="nil"/>
                  </w:tcBorders>
                  <w:shd w:val="clear" w:color="auto" w:fill="auto"/>
                  <w:vAlign w:val="center"/>
                </w:tcPr>
                <w:p w14:paraId="4742740F">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说明</w:t>
                  </w:r>
                </w:p>
              </w:tc>
            </w:tr>
            <w:tr w14:paraId="33F7761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1915" w:type="dxa"/>
                  <w:tcBorders>
                    <w:tl2br w:val="nil"/>
                    <w:tr2bl w:val="nil"/>
                  </w:tcBorders>
                  <w:shd w:val="clear" w:color="auto" w:fill="auto"/>
                  <w:vAlign w:val="center"/>
                </w:tcPr>
                <w:p w14:paraId="54187F86">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雨水管渠设计重现期</w:t>
                  </w:r>
                </w:p>
              </w:tc>
              <w:tc>
                <w:tcPr>
                  <w:tcW w:w="1662" w:type="dxa"/>
                  <w:tcBorders>
                    <w:tl2br w:val="nil"/>
                    <w:tr2bl w:val="nil"/>
                  </w:tcBorders>
                  <w:shd w:val="clear" w:color="auto" w:fill="auto"/>
                  <w:vAlign w:val="center"/>
                </w:tcPr>
                <w:p w14:paraId="7EFA8EED">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3～5年</w:t>
                  </w:r>
                </w:p>
              </w:tc>
              <w:tc>
                <w:tcPr>
                  <w:tcW w:w="1650" w:type="dxa"/>
                  <w:tcBorders>
                    <w:tl2br w:val="nil"/>
                    <w:tr2bl w:val="nil"/>
                  </w:tcBorders>
                  <w:shd w:val="clear" w:color="auto" w:fill="auto"/>
                  <w:vAlign w:val="center"/>
                </w:tcPr>
                <w:p w14:paraId="69775124">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管道本身</w:t>
                  </w:r>
                </w:p>
              </w:tc>
              <w:tc>
                <w:tcPr>
                  <w:tcW w:w="2710" w:type="dxa"/>
                  <w:tcBorders>
                    <w:tl2br w:val="nil"/>
                    <w:tr2bl w:val="nil"/>
                  </w:tcBorders>
                  <w:shd w:val="clear" w:color="auto" w:fill="auto"/>
                  <w:vAlign w:val="center"/>
                </w:tcPr>
                <w:p w14:paraId="69456AF9">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一般地区3年，重要地区及低洼地5年</w:t>
                  </w:r>
                </w:p>
              </w:tc>
            </w:tr>
            <w:tr w14:paraId="6CB421E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1915" w:type="dxa"/>
                  <w:tcBorders>
                    <w:tl2br w:val="nil"/>
                    <w:tr2bl w:val="nil"/>
                  </w:tcBorders>
                  <w:shd w:val="clear" w:color="auto" w:fill="auto"/>
                  <w:vAlign w:val="center"/>
                </w:tcPr>
                <w:p w14:paraId="55AAC7AB">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内涝防治设计重现期</w:t>
                  </w:r>
                </w:p>
              </w:tc>
              <w:tc>
                <w:tcPr>
                  <w:tcW w:w="1662" w:type="dxa"/>
                  <w:tcBorders>
                    <w:tl2br w:val="nil"/>
                    <w:tr2bl w:val="nil"/>
                  </w:tcBorders>
                  <w:shd w:val="clear" w:color="auto" w:fill="auto"/>
                  <w:vAlign w:val="center"/>
                </w:tcPr>
                <w:p w14:paraId="148AB216">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30年</w:t>
                  </w:r>
                </w:p>
              </w:tc>
              <w:tc>
                <w:tcPr>
                  <w:tcW w:w="1650" w:type="dxa"/>
                  <w:tcBorders>
                    <w:tl2br w:val="nil"/>
                    <w:tr2bl w:val="nil"/>
                  </w:tcBorders>
                  <w:shd w:val="clear" w:color="auto" w:fill="auto"/>
                  <w:vAlign w:val="center"/>
                </w:tcPr>
                <w:p w14:paraId="4B22A11B">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整个城市防涝系统</w:t>
                  </w:r>
                </w:p>
              </w:tc>
              <w:tc>
                <w:tcPr>
                  <w:tcW w:w="2710" w:type="dxa"/>
                  <w:tcBorders>
                    <w:tl2br w:val="nil"/>
                    <w:tr2bl w:val="nil"/>
                  </w:tcBorders>
                  <w:shd w:val="clear" w:color="auto" w:fill="auto"/>
                  <w:vAlign w:val="center"/>
                </w:tcPr>
                <w:p w14:paraId="2DF66ED9">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地级城市标准，含管道+地表行泄+调蓄</w:t>
                  </w:r>
                </w:p>
              </w:tc>
            </w:tr>
          </w:tbl>
          <w:p w14:paraId="5218DE1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②设计参数与校核</w:t>
            </w:r>
          </w:p>
          <w:p w14:paraId="778CC14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val="en-US" w:eastAsia="zh-CN"/>
              </w:rPr>
            </w:pPr>
            <w:r>
              <w:rPr>
                <w:rFonts w:hint="eastAsia" w:ascii="宋体" w:hAnsi="宋体" w:cs="宋体"/>
                <w:color w:val="auto"/>
                <w:sz w:val="24"/>
                <w:szCs w:val="24"/>
                <w:lang w:val="en-US" w:eastAsia="zh-CN"/>
              </w:rPr>
              <w:t>1）</w:t>
            </w:r>
            <w:r>
              <w:rPr>
                <w:rFonts w:hint="eastAsia" w:ascii="宋体" w:hAnsi="宋体" w:eastAsia="宋体" w:cs="宋体"/>
                <w:color w:val="auto"/>
                <w:sz w:val="24"/>
                <w:szCs w:val="24"/>
                <w:lang w:val="en-US" w:eastAsia="zh-CN"/>
              </w:rPr>
              <w:t>以巴陵路（琵琶王立交-王家河）排水片区为例，汇水面积约85公顷（0.85 km²）</w:t>
            </w:r>
            <w:r>
              <w:rPr>
                <w:rFonts w:hint="eastAsia" w:ascii="宋体" w:hAnsi="宋体" w:cs="宋体"/>
                <w:color w:val="auto"/>
                <w:sz w:val="24"/>
                <w:szCs w:val="24"/>
                <w:lang w:val="en-US" w:eastAsia="zh-CN"/>
              </w:rPr>
              <w:t>，</w:t>
            </w:r>
            <w:r>
              <w:rPr>
                <w:rFonts w:hint="eastAsia" w:ascii="宋体" w:hAnsi="宋体" w:eastAsia="宋体" w:cs="宋体"/>
                <w:color w:val="auto"/>
                <w:sz w:val="24"/>
                <w:szCs w:val="24"/>
                <w:lang w:val="en-US" w:eastAsia="zh-CN"/>
              </w:rPr>
              <w:t>综合径流系数取0.6。</w:t>
            </w:r>
          </w:p>
          <w:p w14:paraId="7788C67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eastAsia="宋体" w:cs="宋体"/>
                <w:color w:val="auto"/>
                <w:sz w:val="24"/>
                <w:szCs w:val="24"/>
                <w:lang w:val="en-US" w:eastAsia="zh-CN"/>
              </w:rPr>
              <w:t>岳阳市暴雨强度公式</w:t>
            </w:r>
            <w:r>
              <w:rPr>
                <w:rFonts w:hint="eastAsia" w:ascii="宋体" w:hAnsi="宋体" w:cs="宋体"/>
                <w:color w:val="auto"/>
                <w:sz w:val="24"/>
                <w:szCs w:val="24"/>
                <w:lang w:val="en-US" w:eastAsia="zh-CN"/>
              </w:rPr>
              <w:t>：</w:t>
            </w:r>
          </w:p>
          <w:p w14:paraId="49C8B62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center"/>
              <w:textAlignment w:val="auto"/>
              <w:rPr>
                <w:rFonts w:hint="eastAsia" w:ascii="宋体" w:hAnsi="宋体" w:eastAsia="宋体" w:cs="宋体"/>
                <w:color w:val="auto"/>
                <w:sz w:val="24"/>
                <w:szCs w:val="24"/>
                <w:lang w:val="en-US" w:eastAsia="zh-CN"/>
              </w:rPr>
            </w:pPr>
            <w:r>
              <w:rPr>
                <w:rFonts w:hint="eastAsia" w:ascii="宋体" w:hAnsi="宋体" w:cs="宋体"/>
                <w:color w:val="auto"/>
                <w:position w:val="-30"/>
                <w:sz w:val="24"/>
                <w:szCs w:val="24"/>
                <w:lang w:val="en-US" w:eastAsia="zh-CN"/>
              </w:rPr>
              <w:object>
                <v:shape id="_x0000_i1035" o:spt="75" type="#_x0000_t75" style="height:34pt;width:110pt;" o:ole="t" filled="f" o:preferrelative="t" stroked="f" coordsize="21600,21600">
                  <v:path/>
                  <v:fill on="f" focussize="0,0"/>
                  <v:stroke on="f"/>
                  <v:imagedata r:id="rId35" o:title=""/>
                  <o:lock v:ext="edit" aspectratio="t"/>
                  <w10:wrap type="none"/>
                  <w10:anchorlock/>
                </v:shape>
                <o:OLEObject Type="Embed" ProgID="Equation.KSEE3" ShapeID="_x0000_i1035" DrawAspect="Content" ObjectID="_1468075735" r:id="rId34">
                  <o:LockedField>false</o:LockedField>
                </o:OLEObject>
              </w:object>
            </w:r>
          </w:p>
          <w:p w14:paraId="1A882A5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式中：q—设计暴雨强度（L/(s·</w:t>
            </w:r>
            <w:r>
              <w:rPr>
                <w:rFonts w:hint="eastAsia" w:ascii="宋体" w:hAnsi="宋体" w:cs="宋体"/>
                <w:color w:val="auto"/>
                <w:sz w:val="24"/>
                <w:szCs w:val="24"/>
                <w:lang w:val="en-US" w:eastAsia="zh-CN"/>
              </w:rPr>
              <w:t>hm</w:t>
            </w:r>
            <w:r>
              <w:rPr>
                <w:rFonts w:hint="eastAsia" w:ascii="宋体" w:hAnsi="宋体" w:cs="宋体"/>
                <w:color w:val="auto"/>
                <w:sz w:val="24"/>
                <w:szCs w:val="24"/>
                <w:vertAlign w:val="superscript"/>
                <w:lang w:val="en-US" w:eastAsia="zh-CN"/>
              </w:rPr>
              <w:t>2</w:t>
            </w:r>
            <w:r>
              <w:rPr>
                <w:rFonts w:hint="eastAsia" w:ascii="宋体" w:hAnsi="宋体" w:eastAsia="宋体" w:cs="宋体"/>
                <w:color w:val="auto"/>
                <w:sz w:val="24"/>
                <w:szCs w:val="24"/>
                <w:lang w:val="en-US" w:eastAsia="zh-CN"/>
              </w:rPr>
              <w:t>)）；P—设计重现期（年）；t—降雨历时（min），取t=10～15min。</w:t>
            </w:r>
          </w:p>
          <w:p w14:paraId="1187839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设计重现期P=5年：计算得暴雨强度约410L/(s·</w:t>
            </w:r>
            <w:r>
              <w:rPr>
                <w:rFonts w:hint="eastAsia" w:ascii="宋体" w:hAnsi="宋体" w:cs="宋体"/>
                <w:color w:val="auto"/>
                <w:sz w:val="24"/>
                <w:szCs w:val="24"/>
                <w:lang w:val="en-US" w:eastAsia="zh-CN"/>
              </w:rPr>
              <w:t>hm</w:t>
            </w:r>
            <w:r>
              <w:rPr>
                <w:rFonts w:hint="eastAsia" w:ascii="宋体" w:hAnsi="宋体" w:cs="宋体"/>
                <w:color w:val="auto"/>
                <w:sz w:val="24"/>
                <w:szCs w:val="24"/>
                <w:vertAlign w:val="superscript"/>
                <w:lang w:val="en-US" w:eastAsia="zh-CN"/>
              </w:rPr>
              <w:t>2</w:t>
            </w:r>
            <w:r>
              <w:rPr>
                <w:rFonts w:hint="eastAsia" w:ascii="宋体" w:hAnsi="宋体" w:eastAsia="宋体" w:cs="宋体"/>
                <w:color w:val="auto"/>
                <w:sz w:val="24"/>
                <w:szCs w:val="24"/>
                <w:lang w:val="en-US" w:eastAsia="zh-CN"/>
              </w:rPr>
              <w:t>)，设计流量Q=q</w:t>
            </w:r>
            <w:r>
              <w:rPr>
                <w:rFonts w:hint="default" w:ascii="Arial" w:hAnsi="Arial" w:eastAsia="宋体" w:cs="Arial"/>
                <w:color w:val="auto"/>
                <w:sz w:val="24"/>
                <w:szCs w:val="24"/>
                <w:lang w:val="en-US" w:eastAsia="zh-CN"/>
              </w:rPr>
              <w:t>×</w:t>
            </w:r>
            <w:r>
              <w:rPr>
                <w:rFonts w:hint="eastAsia" w:ascii="宋体" w:hAnsi="宋体" w:eastAsia="宋体" w:cs="宋体"/>
                <w:color w:val="auto"/>
                <w:sz w:val="24"/>
                <w:szCs w:val="24"/>
                <w:lang w:val="en-US" w:eastAsia="zh-CN"/>
              </w:rPr>
              <w:t>ψ</w:t>
            </w:r>
            <w:r>
              <w:rPr>
                <w:rFonts w:hint="default" w:ascii="Arial" w:hAnsi="Arial" w:eastAsia="宋体" w:cs="Arial"/>
                <w:color w:val="auto"/>
                <w:sz w:val="24"/>
                <w:szCs w:val="24"/>
                <w:lang w:val="en-US" w:eastAsia="zh-CN"/>
              </w:rPr>
              <w:t>×</w:t>
            </w:r>
            <w:r>
              <w:rPr>
                <w:rFonts w:hint="eastAsia" w:ascii="宋体" w:hAnsi="宋体" w:eastAsia="宋体" w:cs="宋体"/>
                <w:color w:val="auto"/>
                <w:sz w:val="24"/>
                <w:szCs w:val="24"/>
                <w:lang w:val="en-US" w:eastAsia="zh-CN"/>
              </w:rPr>
              <w:t>F=410</w:t>
            </w:r>
            <w:r>
              <w:rPr>
                <w:rFonts w:hint="default" w:ascii="Arial" w:hAnsi="Arial" w:eastAsia="宋体" w:cs="Arial"/>
                <w:color w:val="auto"/>
                <w:sz w:val="24"/>
                <w:szCs w:val="24"/>
                <w:lang w:val="en-US" w:eastAsia="zh-CN"/>
              </w:rPr>
              <w:t>×</w:t>
            </w:r>
            <w:r>
              <w:rPr>
                <w:rFonts w:hint="eastAsia" w:ascii="宋体" w:hAnsi="宋体" w:eastAsia="宋体" w:cs="宋体"/>
                <w:color w:val="auto"/>
                <w:sz w:val="24"/>
                <w:szCs w:val="24"/>
                <w:lang w:val="en-US" w:eastAsia="zh-CN"/>
              </w:rPr>
              <w:t>0.6</w:t>
            </w:r>
            <w:r>
              <w:rPr>
                <w:rFonts w:hint="default" w:ascii="Arial" w:hAnsi="Arial" w:eastAsia="宋体" w:cs="Arial"/>
                <w:color w:val="auto"/>
                <w:sz w:val="24"/>
                <w:szCs w:val="24"/>
                <w:lang w:val="en-US" w:eastAsia="zh-CN"/>
              </w:rPr>
              <w:t>×</w:t>
            </w:r>
            <w:r>
              <w:rPr>
                <w:rFonts w:hint="eastAsia" w:ascii="宋体" w:hAnsi="宋体" w:eastAsia="宋体" w:cs="宋体"/>
                <w:color w:val="auto"/>
                <w:sz w:val="24"/>
                <w:szCs w:val="24"/>
                <w:lang w:val="en-US" w:eastAsia="zh-CN"/>
              </w:rPr>
              <w:t>85≈20910L/s≈21.0m</w:t>
            </w:r>
            <w:r>
              <w:rPr>
                <w:rFonts w:hint="eastAsia" w:ascii="宋体" w:hAnsi="宋体" w:cs="宋体"/>
                <w:color w:val="auto"/>
                <w:sz w:val="24"/>
                <w:szCs w:val="24"/>
                <w:vertAlign w:val="superscript"/>
                <w:lang w:val="en-US" w:eastAsia="zh-CN"/>
              </w:rPr>
              <w:t>3</w:t>
            </w:r>
            <w:r>
              <w:rPr>
                <w:rFonts w:hint="eastAsia" w:ascii="宋体" w:hAnsi="宋体" w:eastAsia="宋体" w:cs="宋体"/>
                <w:color w:val="auto"/>
                <w:sz w:val="24"/>
                <w:szCs w:val="24"/>
                <w:lang w:val="en-US" w:eastAsia="zh-CN"/>
              </w:rPr>
              <w:t>/s。</w:t>
            </w:r>
          </w:p>
          <w:p w14:paraId="1EC654F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校核重现期P=30年（内涝防治）：计算得暴雨强度约550L/(s·</w:t>
            </w:r>
            <w:r>
              <w:rPr>
                <w:rFonts w:hint="eastAsia" w:ascii="宋体" w:hAnsi="宋体" w:cs="宋体"/>
                <w:color w:val="auto"/>
                <w:sz w:val="24"/>
                <w:szCs w:val="24"/>
                <w:lang w:val="en-US" w:eastAsia="zh-CN"/>
              </w:rPr>
              <w:t>hm</w:t>
            </w:r>
            <w:r>
              <w:rPr>
                <w:rFonts w:hint="eastAsia" w:ascii="宋体" w:hAnsi="宋体" w:cs="宋体"/>
                <w:color w:val="auto"/>
                <w:sz w:val="24"/>
                <w:szCs w:val="24"/>
                <w:vertAlign w:val="superscript"/>
                <w:lang w:val="en-US" w:eastAsia="zh-CN"/>
              </w:rPr>
              <w:t>2</w:t>
            </w:r>
            <w:r>
              <w:rPr>
                <w:rFonts w:hint="eastAsia" w:ascii="宋体" w:hAnsi="宋体" w:eastAsia="宋体" w:cs="宋体"/>
                <w:color w:val="auto"/>
                <w:sz w:val="24"/>
                <w:szCs w:val="24"/>
                <w:lang w:val="en-US" w:eastAsia="zh-CN"/>
              </w:rPr>
              <w:t>)，校核流量Q=550</w:t>
            </w:r>
            <w:r>
              <w:rPr>
                <w:rFonts w:hint="default" w:ascii="Arial" w:hAnsi="Arial" w:eastAsia="宋体" w:cs="Arial"/>
                <w:color w:val="auto"/>
                <w:sz w:val="24"/>
                <w:szCs w:val="24"/>
                <w:lang w:val="en-US" w:eastAsia="zh-CN"/>
              </w:rPr>
              <w:t>×</w:t>
            </w:r>
            <w:r>
              <w:rPr>
                <w:rFonts w:hint="eastAsia" w:ascii="宋体" w:hAnsi="宋体" w:eastAsia="宋体" w:cs="宋体"/>
                <w:color w:val="auto"/>
                <w:sz w:val="24"/>
                <w:szCs w:val="24"/>
                <w:lang w:val="en-US" w:eastAsia="zh-CN"/>
              </w:rPr>
              <w:t>0.6</w:t>
            </w:r>
            <w:r>
              <w:rPr>
                <w:rFonts w:hint="default" w:ascii="Arial" w:hAnsi="Arial" w:eastAsia="宋体" w:cs="Arial"/>
                <w:color w:val="auto"/>
                <w:sz w:val="24"/>
                <w:szCs w:val="24"/>
                <w:lang w:val="en-US" w:eastAsia="zh-CN"/>
              </w:rPr>
              <w:t>×</w:t>
            </w:r>
            <w:r>
              <w:rPr>
                <w:rFonts w:hint="eastAsia" w:ascii="宋体" w:hAnsi="宋体" w:eastAsia="宋体" w:cs="宋体"/>
                <w:color w:val="auto"/>
                <w:sz w:val="24"/>
                <w:szCs w:val="24"/>
                <w:lang w:val="en-US" w:eastAsia="zh-CN"/>
              </w:rPr>
              <w:t>85≈28050L/s≈28.1m</w:t>
            </w:r>
            <w:r>
              <w:rPr>
                <w:rFonts w:hint="eastAsia" w:ascii="宋体" w:hAnsi="宋体" w:cs="宋体"/>
                <w:color w:val="auto"/>
                <w:sz w:val="24"/>
                <w:szCs w:val="24"/>
                <w:vertAlign w:val="superscript"/>
                <w:lang w:val="en-US" w:eastAsia="zh-CN"/>
              </w:rPr>
              <w:t>3</w:t>
            </w:r>
            <w:r>
              <w:rPr>
                <w:rFonts w:hint="eastAsia" w:ascii="宋体" w:hAnsi="宋体" w:eastAsia="宋体" w:cs="宋体"/>
                <w:color w:val="auto"/>
                <w:sz w:val="24"/>
                <w:szCs w:val="24"/>
                <w:lang w:val="en-US" w:eastAsia="zh-CN"/>
              </w:rPr>
              <w:t>/s。</w:t>
            </w:r>
          </w:p>
          <w:p w14:paraId="1FEBD43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新建DN2600雨水管道，坡度0.003，根据曼宁公式计算过流能力约16.8m</w:t>
            </w:r>
            <w:r>
              <w:rPr>
                <w:rFonts w:hint="eastAsia" w:ascii="宋体" w:hAnsi="宋体" w:cs="宋体"/>
                <w:color w:val="auto"/>
                <w:sz w:val="24"/>
                <w:szCs w:val="24"/>
                <w:vertAlign w:val="superscript"/>
                <w:lang w:val="en-US" w:eastAsia="zh-CN"/>
              </w:rPr>
              <w:t>3</w:t>
            </w:r>
            <w:r>
              <w:rPr>
                <w:rFonts w:hint="eastAsia" w:ascii="宋体" w:hAnsi="宋体" w:eastAsia="宋体" w:cs="宋体"/>
                <w:color w:val="auto"/>
                <w:sz w:val="24"/>
                <w:szCs w:val="24"/>
                <w:lang w:val="en-US" w:eastAsia="zh-CN"/>
              </w:rPr>
              <w:t>/s（满流）</w:t>
            </w:r>
            <w:r>
              <w:rPr>
                <w:rFonts w:hint="eastAsia" w:ascii="宋体" w:hAnsi="宋体" w:cs="宋体"/>
                <w:color w:val="auto"/>
                <w:sz w:val="24"/>
                <w:szCs w:val="24"/>
                <w:lang w:val="en-US" w:eastAsia="zh-CN"/>
              </w:rPr>
              <w:t>，</w:t>
            </w:r>
            <w:r>
              <w:rPr>
                <w:rFonts w:hint="eastAsia" w:ascii="宋体" w:hAnsi="宋体" w:eastAsia="宋体" w:cs="宋体"/>
                <w:color w:val="auto"/>
                <w:sz w:val="24"/>
                <w:szCs w:val="24"/>
                <w:lang w:val="en-US" w:eastAsia="zh-CN"/>
              </w:rPr>
              <w:t>同时利用原有DN1500管道（下游连接固定堰分流井），溢流能力8.8～14.6m</w:t>
            </w:r>
            <w:r>
              <w:rPr>
                <w:rFonts w:hint="eastAsia" w:ascii="宋体" w:hAnsi="宋体" w:cs="宋体"/>
                <w:color w:val="auto"/>
                <w:sz w:val="24"/>
                <w:szCs w:val="24"/>
                <w:vertAlign w:val="superscript"/>
                <w:lang w:val="en-US" w:eastAsia="zh-CN"/>
              </w:rPr>
              <w:t>3</w:t>
            </w:r>
            <w:r>
              <w:rPr>
                <w:rFonts w:hint="eastAsia" w:ascii="宋体" w:hAnsi="宋体" w:eastAsia="宋体" w:cs="宋体"/>
                <w:color w:val="auto"/>
                <w:sz w:val="24"/>
                <w:szCs w:val="24"/>
                <w:lang w:val="en-US" w:eastAsia="zh-CN"/>
              </w:rPr>
              <w:t>/s</w:t>
            </w:r>
            <w:r>
              <w:rPr>
                <w:rFonts w:hint="eastAsia" w:ascii="宋体" w:hAnsi="宋体" w:cs="宋体"/>
                <w:color w:val="auto"/>
                <w:sz w:val="24"/>
                <w:szCs w:val="24"/>
                <w:lang w:val="en-US" w:eastAsia="zh-CN"/>
              </w:rPr>
              <w:t>，从而可达到总流量31.4</w:t>
            </w:r>
            <w:r>
              <w:rPr>
                <w:rFonts w:hint="eastAsia" w:ascii="宋体" w:hAnsi="宋体" w:eastAsia="宋体" w:cs="宋体"/>
                <w:color w:val="auto"/>
                <w:sz w:val="24"/>
                <w:szCs w:val="24"/>
                <w:lang w:val="en-US" w:eastAsia="zh-CN"/>
              </w:rPr>
              <w:t>m</w:t>
            </w:r>
            <w:r>
              <w:rPr>
                <w:rFonts w:hint="eastAsia" w:ascii="宋体" w:hAnsi="宋体" w:cs="宋体"/>
                <w:color w:val="auto"/>
                <w:sz w:val="24"/>
                <w:szCs w:val="24"/>
                <w:vertAlign w:val="superscript"/>
                <w:lang w:val="en-US" w:eastAsia="zh-CN"/>
              </w:rPr>
              <w:t>3</w:t>
            </w:r>
            <w:r>
              <w:rPr>
                <w:rFonts w:hint="eastAsia" w:ascii="宋体" w:hAnsi="宋体" w:eastAsia="宋体" w:cs="宋体"/>
                <w:color w:val="auto"/>
                <w:sz w:val="24"/>
                <w:szCs w:val="24"/>
                <w:lang w:val="en-US" w:eastAsia="zh-CN"/>
              </w:rPr>
              <w:t>/s</w:t>
            </w:r>
            <w:r>
              <w:rPr>
                <w:rFonts w:hint="eastAsia" w:ascii="宋体" w:hAnsi="宋体" w:cs="宋体"/>
                <w:color w:val="auto"/>
                <w:sz w:val="24"/>
                <w:szCs w:val="24"/>
                <w:lang w:val="en-US" w:eastAsia="zh-CN"/>
              </w:rPr>
              <w:t>。</w:t>
            </w:r>
          </w:p>
          <w:p w14:paraId="3F70956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组合排水能力可满足</w:t>
            </w:r>
            <w:r>
              <w:rPr>
                <w:rFonts w:hint="eastAsia" w:ascii="宋体" w:hAnsi="宋体" w:cs="宋体"/>
                <w:color w:val="auto"/>
                <w:sz w:val="24"/>
                <w:szCs w:val="24"/>
                <w:lang w:val="en-US" w:eastAsia="zh-CN"/>
              </w:rPr>
              <w:t>雨水管渠</w:t>
            </w:r>
            <w:r>
              <w:rPr>
                <w:rFonts w:hint="eastAsia" w:ascii="宋体" w:hAnsi="宋体" w:eastAsia="宋体" w:cs="宋体"/>
                <w:color w:val="auto"/>
                <w:sz w:val="24"/>
                <w:szCs w:val="24"/>
                <w:lang w:val="en-US" w:eastAsia="zh-CN"/>
              </w:rPr>
              <w:t>设计重现期5年（21.0m</w:t>
            </w:r>
            <w:r>
              <w:rPr>
                <w:rFonts w:hint="eastAsia" w:ascii="宋体" w:hAnsi="宋体" w:cs="宋体"/>
                <w:color w:val="auto"/>
                <w:sz w:val="24"/>
                <w:szCs w:val="24"/>
                <w:vertAlign w:val="superscript"/>
                <w:lang w:val="en-US" w:eastAsia="zh-CN"/>
              </w:rPr>
              <w:t>3</w:t>
            </w:r>
            <w:r>
              <w:rPr>
                <w:rFonts w:hint="eastAsia" w:ascii="宋体" w:hAnsi="宋体" w:eastAsia="宋体" w:cs="宋体"/>
                <w:color w:val="auto"/>
                <w:sz w:val="24"/>
                <w:szCs w:val="24"/>
                <w:lang w:val="en-US" w:eastAsia="zh-CN"/>
              </w:rPr>
              <w:t>/s）</w:t>
            </w:r>
            <w:r>
              <w:rPr>
                <w:rFonts w:hint="eastAsia" w:ascii="宋体" w:hAnsi="宋体" w:cs="宋体"/>
                <w:color w:val="auto"/>
                <w:sz w:val="24"/>
                <w:szCs w:val="24"/>
                <w:lang w:val="en-US" w:eastAsia="zh-CN"/>
              </w:rPr>
              <w:t>和内涝防治重现期30年标准</w:t>
            </w:r>
            <w:r>
              <w:rPr>
                <w:rFonts w:hint="eastAsia" w:ascii="宋体" w:hAnsi="宋体" w:eastAsia="宋体" w:cs="宋体"/>
                <w:color w:val="auto"/>
                <w:sz w:val="24"/>
                <w:szCs w:val="24"/>
                <w:lang w:val="en-US" w:eastAsia="zh-CN"/>
              </w:rPr>
              <w:t>（2</w:t>
            </w:r>
            <w:r>
              <w:rPr>
                <w:rFonts w:hint="eastAsia" w:ascii="宋体" w:hAnsi="宋体" w:cs="宋体"/>
                <w:color w:val="auto"/>
                <w:sz w:val="24"/>
                <w:szCs w:val="24"/>
                <w:lang w:val="en-US" w:eastAsia="zh-CN"/>
              </w:rPr>
              <w:t>8.1</w:t>
            </w:r>
            <w:r>
              <w:rPr>
                <w:rFonts w:hint="eastAsia" w:ascii="宋体" w:hAnsi="宋体" w:eastAsia="宋体" w:cs="宋体"/>
                <w:color w:val="auto"/>
                <w:sz w:val="24"/>
                <w:szCs w:val="24"/>
                <w:lang w:val="en-US" w:eastAsia="zh-CN"/>
              </w:rPr>
              <w:t>m</w:t>
            </w:r>
            <w:r>
              <w:rPr>
                <w:rFonts w:hint="eastAsia" w:ascii="宋体" w:hAnsi="宋体" w:cs="宋体"/>
                <w:color w:val="auto"/>
                <w:sz w:val="24"/>
                <w:szCs w:val="24"/>
                <w:vertAlign w:val="superscript"/>
                <w:lang w:val="en-US" w:eastAsia="zh-CN"/>
              </w:rPr>
              <w:t>3</w:t>
            </w:r>
            <w:r>
              <w:rPr>
                <w:rFonts w:hint="eastAsia" w:ascii="宋体" w:hAnsi="宋体" w:eastAsia="宋体" w:cs="宋体"/>
                <w:color w:val="auto"/>
                <w:sz w:val="24"/>
                <w:szCs w:val="24"/>
                <w:lang w:val="en-US" w:eastAsia="zh-CN"/>
              </w:rPr>
              <w:t>/s）要求。</w:t>
            </w:r>
          </w:p>
          <w:p w14:paraId="67095E6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eastAsia="宋体" w:cs="宋体"/>
                <w:color w:val="auto"/>
                <w:sz w:val="24"/>
                <w:szCs w:val="24"/>
                <w:lang w:val="en-US" w:eastAsia="zh-CN"/>
              </w:rPr>
            </w:pPr>
            <w:r>
              <w:rPr>
                <w:rFonts w:hint="eastAsia" w:ascii="宋体" w:hAnsi="宋体" w:cs="宋体"/>
                <w:color w:val="auto"/>
                <w:sz w:val="24"/>
                <w:szCs w:val="24"/>
                <w:lang w:val="en-US" w:eastAsia="zh-CN"/>
              </w:rPr>
              <w:t>2）其他内涝点</w:t>
            </w:r>
          </w:p>
          <w:p w14:paraId="3C05D21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其他内涝点（万家垅、康复医院北侧等）因受下游排水能力限制（如下王组箱涵高水位倒灌），本次工程以清淤、沟渠修复、临时排水等措施为主，缓解内涝问题。彻底解决需待下游排水系统（如三峡项目洞庭大道雨水管道）建成后实现。</w:t>
            </w:r>
          </w:p>
          <w:p w14:paraId="1EB8302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val="en-US" w:eastAsia="zh-CN"/>
              </w:rPr>
            </w:pPr>
            <w:r>
              <w:rPr>
                <w:rFonts w:hint="eastAsia" w:ascii="宋体" w:hAnsi="宋体" w:cs="宋体"/>
                <w:color w:val="auto"/>
                <w:sz w:val="24"/>
                <w:szCs w:val="24"/>
                <w:lang w:val="en-US" w:eastAsia="zh-CN"/>
              </w:rPr>
              <w:t>（2）给水工程</w:t>
            </w:r>
          </w:p>
          <w:p w14:paraId="00113DF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①</w:t>
            </w:r>
            <w:r>
              <w:rPr>
                <w:rFonts w:hint="eastAsia" w:ascii="宋体" w:hAnsi="宋体" w:cs="宋体"/>
                <w:color w:val="auto"/>
                <w:sz w:val="24"/>
                <w:szCs w:val="24"/>
                <w:lang w:val="en-US" w:eastAsia="zh-CN"/>
              </w:rPr>
              <w:t>用水量预测</w:t>
            </w:r>
          </w:p>
          <w:p w14:paraId="6E27C8F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根据《岳阳市中心城区给水专项规划（2011-2030）》，人均综合用水量指标为450L/人·d（最高日）。本工程受益人口及需水量计算如下：</w:t>
            </w:r>
          </w:p>
          <w:p w14:paraId="696C8CC2">
            <w:pPr>
              <w:pStyle w:val="19"/>
              <w:keepNext/>
              <w:keepLines w:val="0"/>
              <w:pageBreakBefore w:val="0"/>
              <w:widowControl w:val="0"/>
              <w:kinsoku/>
              <w:wordWrap/>
              <w:overflowPunct/>
              <w:topLinePunct w:val="0"/>
              <w:autoSpaceDE/>
              <w:autoSpaceDN/>
              <w:bidi w:val="0"/>
              <w:adjustRightInd/>
              <w:snapToGrid/>
              <w:spacing w:before="0"/>
              <w:textAlignment w:val="auto"/>
              <w:rPr>
                <w:rFonts w:hint="default"/>
                <w:b w:val="0"/>
                <w:bCs/>
                <w:lang w:val="en-US" w:eastAsia="zh-CN"/>
              </w:rPr>
            </w:pPr>
            <w:r>
              <w:rPr>
                <w:rFonts w:hint="eastAsia"/>
                <w:b w:val="0"/>
                <w:bCs/>
                <w:lang w:val="en-US" w:eastAsia="zh-CN"/>
              </w:rPr>
              <w:t>表2-12   人员与水量需求核算表</w:t>
            </w:r>
          </w:p>
          <w:tbl>
            <w:tblPr>
              <w:tblStyle w:val="9"/>
              <w:tblW w:w="7937"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3730"/>
              <w:gridCol w:w="1430"/>
              <w:gridCol w:w="1340"/>
              <w:gridCol w:w="1437"/>
            </w:tblGrid>
            <w:tr w14:paraId="59094D3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3730" w:type="dxa"/>
                  <w:tcBorders>
                    <w:tl2br w:val="nil"/>
                    <w:tr2bl w:val="nil"/>
                  </w:tcBorders>
                  <w:shd w:val="clear" w:color="auto" w:fill="auto"/>
                  <w:vAlign w:val="center"/>
                </w:tcPr>
                <w:p w14:paraId="18F13D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片区</w:t>
                  </w:r>
                </w:p>
              </w:tc>
              <w:tc>
                <w:tcPr>
                  <w:tcW w:w="1430" w:type="dxa"/>
                  <w:tcBorders>
                    <w:tl2br w:val="nil"/>
                    <w:tr2bl w:val="nil"/>
                  </w:tcBorders>
                  <w:shd w:val="clear" w:color="auto" w:fill="auto"/>
                  <w:vAlign w:val="center"/>
                </w:tcPr>
                <w:p w14:paraId="3CFF6E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户数（约）</w:t>
                  </w:r>
                </w:p>
              </w:tc>
              <w:tc>
                <w:tcPr>
                  <w:tcW w:w="1340" w:type="dxa"/>
                  <w:tcBorders>
                    <w:tl2br w:val="nil"/>
                    <w:tr2bl w:val="nil"/>
                  </w:tcBorders>
                  <w:shd w:val="clear" w:color="auto" w:fill="auto"/>
                  <w:vAlign w:val="center"/>
                </w:tcPr>
                <w:p w14:paraId="0B33A5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人口（按3.5人/户）</w:t>
                  </w:r>
                </w:p>
              </w:tc>
              <w:tc>
                <w:tcPr>
                  <w:tcW w:w="1437" w:type="dxa"/>
                  <w:tcBorders>
                    <w:tl2br w:val="nil"/>
                    <w:tr2bl w:val="nil"/>
                  </w:tcBorders>
                  <w:shd w:val="clear" w:color="auto" w:fill="auto"/>
                  <w:vAlign w:val="center"/>
                </w:tcPr>
                <w:p w14:paraId="331FEC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最高日需水量（m³/d）</w:t>
                  </w:r>
                </w:p>
              </w:tc>
            </w:tr>
            <w:tr w14:paraId="1515C09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3730" w:type="dxa"/>
                  <w:tcBorders>
                    <w:tl2br w:val="nil"/>
                    <w:tr2bl w:val="nil"/>
                  </w:tcBorders>
                  <w:shd w:val="clear" w:color="auto" w:fill="auto"/>
                  <w:vAlign w:val="center"/>
                </w:tcPr>
                <w:p w14:paraId="7C66008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郭镇乡（麻布、磨刀、建中、枣树、蔡家、仓田等）</w:t>
                  </w:r>
                </w:p>
              </w:tc>
              <w:tc>
                <w:tcPr>
                  <w:tcW w:w="1430" w:type="dxa"/>
                  <w:tcBorders>
                    <w:tl2br w:val="nil"/>
                    <w:tr2bl w:val="nil"/>
                  </w:tcBorders>
                  <w:shd w:val="clear" w:color="auto" w:fill="auto"/>
                  <w:vAlign w:val="center"/>
                </w:tcPr>
                <w:p w14:paraId="7E8B1D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3614</w:t>
                  </w:r>
                </w:p>
              </w:tc>
              <w:tc>
                <w:tcPr>
                  <w:tcW w:w="1340" w:type="dxa"/>
                  <w:tcBorders>
                    <w:tl2br w:val="nil"/>
                    <w:tr2bl w:val="nil"/>
                  </w:tcBorders>
                  <w:shd w:val="clear" w:color="auto" w:fill="auto"/>
                  <w:vAlign w:val="center"/>
                </w:tcPr>
                <w:p w14:paraId="28B311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12649</w:t>
                  </w:r>
                </w:p>
              </w:tc>
              <w:tc>
                <w:tcPr>
                  <w:tcW w:w="1437" w:type="dxa"/>
                  <w:tcBorders>
                    <w:tl2br w:val="nil"/>
                    <w:tr2bl w:val="nil"/>
                  </w:tcBorders>
                  <w:shd w:val="clear" w:color="auto" w:fill="auto"/>
                  <w:vAlign w:val="center"/>
                </w:tcPr>
                <w:p w14:paraId="013DD5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5692</w:t>
                  </w:r>
                </w:p>
              </w:tc>
            </w:tr>
            <w:tr w14:paraId="374C194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3730" w:type="dxa"/>
                  <w:tcBorders>
                    <w:tl2br w:val="nil"/>
                    <w:tr2bl w:val="nil"/>
                  </w:tcBorders>
                  <w:shd w:val="clear" w:color="auto" w:fill="auto"/>
                  <w:vAlign w:val="center"/>
                </w:tcPr>
                <w:p w14:paraId="40BD43E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梅溪街道胥家桥社区（沿江组等）</w:t>
                  </w:r>
                </w:p>
              </w:tc>
              <w:tc>
                <w:tcPr>
                  <w:tcW w:w="1430" w:type="dxa"/>
                  <w:tcBorders>
                    <w:tl2br w:val="nil"/>
                    <w:tr2bl w:val="nil"/>
                  </w:tcBorders>
                  <w:shd w:val="clear" w:color="auto" w:fill="auto"/>
                  <w:vAlign w:val="center"/>
                </w:tcPr>
                <w:p w14:paraId="6B718A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171</w:t>
                  </w:r>
                </w:p>
              </w:tc>
              <w:tc>
                <w:tcPr>
                  <w:tcW w:w="1340" w:type="dxa"/>
                  <w:tcBorders>
                    <w:tl2br w:val="nil"/>
                    <w:tr2bl w:val="nil"/>
                  </w:tcBorders>
                  <w:shd w:val="clear" w:color="auto" w:fill="auto"/>
                  <w:vAlign w:val="center"/>
                </w:tcPr>
                <w:p w14:paraId="49845F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599</w:t>
                  </w:r>
                </w:p>
              </w:tc>
              <w:tc>
                <w:tcPr>
                  <w:tcW w:w="1437" w:type="dxa"/>
                  <w:tcBorders>
                    <w:tl2br w:val="nil"/>
                    <w:tr2bl w:val="nil"/>
                  </w:tcBorders>
                  <w:shd w:val="clear" w:color="auto" w:fill="auto"/>
                  <w:vAlign w:val="center"/>
                </w:tcPr>
                <w:p w14:paraId="5C8A1F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270</w:t>
                  </w:r>
                </w:p>
              </w:tc>
            </w:tr>
            <w:tr w14:paraId="4C41329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3730" w:type="dxa"/>
                  <w:tcBorders>
                    <w:tl2br w:val="nil"/>
                    <w:tr2bl w:val="nil"/>
                  </w:tcBorders>
                  <w:shd w:val="clear" w:color="auto" w:fill="auto"/>
                  <w:vAlign w:val="center"/>
                </w:tcPr>
                <w:p w14:paraId="0026B8A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康王乡乌江村杨埠片</w:t>
                  </w:r>
                </w:p>
              </w:tc>
              <w:tc>
                <w:tcPr>
                  <w:tcW w:w="1430" w:type="dxa"/>
                  <w:tcBorders>
                    <w:tl2br w:val="nil"/>
                    <w:tr2bl w:val="nil"/>
                  </w:tcBorders>
                  <w:shd w:val="clear" w:color="auto" w:fill="auto"/>
                  <w:vAlign w:val="center"/>
                </w:tcPr>
                <w:p w14:paraId="68D7AF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18</w:t>
                  </w:r>
                </w:p>
              </w:tc>
              <w:tc>
                <w:tcPr>
                  <w:tcW w:w="1340" w:type="dxa"/>
                  <w:tcBorders>
                    <w:tl2br w:val="nil"/>
                    <w:tr2bl w:val="nil"/>
                  </w:tcBorders>
                  <w:shd w:val="clear" w:color="auto" w:fill="auto"/>
                  <w:vAlign w:val="center"/>
                </w:tcPr>
                <w:p w14:paraId="224634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63</w:t>
                  </w:r>
                </w:p>
              </w:tc>
              <w:tc>
                <w:tcPr>
                  <w:tcW w:w="1437" w:type="dxa"/>
                  <w:tcBorders>
                    <w:tl2br w:val="nil"/>
                    <w:tr2bl w:val="nil"/>
                  </w:tcBorders>
                  <w:shd w:val="clear" w:color="auto" w:fill="auto"/>
                  <w:vAlign w:val="center"/>
                </w:tcPr>
                <w:p w14:paraId="421169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28</w:t>
                  </w:r>
                </w:p>
              </w:tc>
            </w:tr>
            <w:tr w14:paraId="60FA3EE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3730" w:type="dxa"/>
                  <w:tcBorders>
                    <w:tl2br w:val="nil"/>
                    <w:tr2bl w:val="nil"/>
                  </w:tcBorders>
                  <w:shd w:val="clear" w:color="auto" w:fill="auto"/>
                  <w:vAlign w:val="center"/>
                </w:tcPr>
                <w:p w14:paraId="303821C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合计</w:t>
                  </w:r>
                </w:p>
              </w:tc>
              <w:tc>
                <w:tcPr>
                  <w:tcW w:w="1430" w:type="dxa"/>
                  <w:tcBorders>
                    <w:tl2br w:val="nil"/>
                    <w:tr2bl w:val="nil"/>
                  </w:tcBorders>
                  <w:shd w:val="clear" w:color="auto" w:fill="auto"/>
                  <w:vAlign w:val="center"/>
                </w:tcPr>
                <w:p w14:paraId="1F3588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3803</w:t>
                  </w:r>
                </w:p>
              </w:tc>
              <w:tc>
                <w:tcPr>
                  <w:tcW w:w="1340" w:type="dxa"/>
                  <w:tcBorders>
                    <w:tl2br w:val="nil"/>
                    <w:tr2bl w:val="nil"/>
                  </w:tcBorders>
                  <w:shd w:val="clear" w:color="auto" w:fill="auto"/>
                  <w:vAlign w:val="center"/>
                </w:tcPr>
                <w:p w14:paraId="763C2A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13311</w:t>
                  </w:r>
                </w:p>
              </w:tc>
              <w:tc>
                <w:tcPr>
                  <w:tcW w:w="1437" w:type="dxa"/>
                  <w:tcBorders>
                    <w:tl2br w:val="nil"/>
                    <w:tr2bl w:val="nil"/>
                  </w:tcBorders>
                  <w:shd w:val="clear" w:color="auto" w:fill="auto"/>
                  <w:vAlign w:val="center"/>
                </w:tcPr>
                <w:p w14:paraId="66DE25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5990</w:t>
                  </w:r>
                </w:p>
              </w:tc>
            </w:tr>
          </w:tbl>
          <w:p w14:paraId="7DD2F89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另外考虑部分经营用水、消防用水及管网漏损，总毛需水量按日变化系数1.3估算，约为7800m</w:t>
            </w:r>
            <w:r>
              <w:rPr>
                <w:rFonts w:hint="eastAsia" w:ascii="宋体" w:hAnsi="宋体" w:cs="宋体"/>
                <w:color w:val="auto"/>
                <w:sz w:val="24"/>
                <w:szCs w:val="24"/>
                <w:vertAlign w:val="superscript"/>
                <w:lang w:val="en-US" w:eastAsia="zh-CN"/>
              </w:rPr>
              <w:t>3</w:t>
            </w:r>
            <w:r>
              <w:rPr>
                <w:rFonts w:hint="eastAsia" w:ascii="宋体" w:hAnsi="宋体" w:eastAsia="宋体" w:cs="宋体"/>
                <w:color w:val="auto"/>
                <w:sz w:val="24"/>
                <w:szCs w:val="24"/>
                <w:lang w:val="en-US" w:eastAsia="zh-CN"/>
              </w:rPr>
              <w:t>/d。</w:t>
            </w:r>
          </w:p>
          <w:p w14:paraId="327C9ED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②可供水量</w:t>
            </w:r>
          </w:p>
          <w:p w14:paraId="785BD94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本项目不新建水厂，依托岳阳市中心城区现有及规划水厂供水。根据给水专项规划：</w:t>
            </w:r>
          </w:p>
          <w:p w14:paraId="1F54DD0C">
            <w:pPr>
              <w:pStyle w:val="19"/>
              <w:keepNext/>
              <w:keepLines w:val="0"/>
              <w:pageBreakBefore w:val="0"/>
              <w:widowControl w:val="0"/>
              <w:kinsoku/>
              <w:wordWrap/>
              <w:overflowPunct/>
              <w:topLinePunct w:val="0"/>
              <w:autoSpaceDE/>
              <w:autoSpaceDN/>
              <w:bidi w:val="0"/>
              <w:adjustRightInd/>
              <w:snapToGrid/>
              <w:spacing w:before="0"/>
              <w:textAlignment w:val="auto"/>
              <w:rPr>
                <w:rFonts w:hint="default"/>
                <w:b w:val="0"/>
                <w:bCs/>
                <w:lang w:val="en-US" w:eastAsia="zh-CN"/>
              </w:rPr>
            </w:pPr>
            <w:r>
              <w:rPr>
                <w:rFonts w:hint="eastAsia"/>
                <w:b w:val="0"/>
                <w:bCs/>
                <w:lang w:val="en-US" w:eastAsia="zh-CN"/>
              </w:rPr>
              <w:t>表2-13   供水能力表</w:t>
            </w:r>
          </w:p>
          <w:tbl>
            <w:tblPr>
              <w:tblStyle w:val="9"/>
              <w:tblW w:w="7937"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2880"/>
              <w:gridCol w:w="2550"/>
              <w:gridCol w:w="2507"/>
            </w:tblGrid>
            <w:tr w14:paraId="669B7D8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2880" w:type="dxa"/>
                  <w:tcBorders>
                    <w:tl2br w:val="nil"/>
                    <w:tr2bl w:val="nil"/>
                  </w:tcBorders>
                  <w:shd w:val="clear" w:color="auto" w:fill="auto"/>
                  <w:vAlign w:val="center"/>
                </w:tcPr>
                <w:p w14:paraId="49C7D5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水厂名称</w:t>
                  </w:r>
                </w:p>
              </w:tc>
              <w:tc>
                <w:tcPr>
                  <w:tcW w:w="2550" w:type="dxa"/>
                  <w:tcBorders>
                    <w:tl2br w:val="nil"/>
                    <w:tr2bl w:val="nil"/>
                  </w:tcBorders>
                  <w:shd w:val="clear" w:color="auto" w:fill="auto"/>
                  <w:vAlign w:val="center"/>
                </w:tcPr>
                <w:p w14:paraId="5E764D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现状规模（万</w:t>
                  </w:r>
                  <w:r>
                    <w:rPr>
                      <w:rFonts w:hint="eastAsia" w:ascii="宋体" w:hAnsi="宋体" w:eastAsia="宋体" w:cs="宋体"/>
                      <w:color w:val="auto"/>
                      <w:sz w:val="24"/>
                      <w:szCs w:val="24"/>
                      <w:lang w:val="en-US" w:eastAsia="zh-CN"/>
                    </w:rPr>
                    <w:t>m</w:t>
                  </w:r>
                  <w:r>
                    <w:rPr>
                      <w:rFonts w:hint="eastAsia" w:ascii="宋体" w:hAnsi="宋体" w:cs="宋体"/>
                      <w:color w:val="auto"/>
                      <w:sz w:val="24"/>
                      <w:szCs w:val="24"/>
                      <w:vertAlign w:val="superscript"/>
                      <w:lang w:val="en-US" w:eastAsia="zh-CN"/>
                    </w:rPr>
                    <w:t>3</w:t>
                  </w:r>
                  <w:r>
                    <w:rPr>
                      <w:rFonts w:hint="eastAsia" w:ascii="宋体" w:hAnsi="宋体" w:eastAsia="宋体" w:cs="宋体"/>
                      <w:i w:val="0"/>
                      <w:iCs w:val="0"/>
                      <w:color w:val="000000"/>
                      <w:kern w:val="0"/>
                      <w:sz w:val="22"/>
                      <w:szCs w:val="22"/>
                      <w:u w:val="none"/>
                      <w:lang w:val="en-US" w:eastAsia="zh-CN" w:bidi="ar"/>
                    </w:rPr>
                    <w:t>/d）</w:t>
                  </w:r>
                </w:p>
              </w:tc>
              <w:tc>
                <w:tcPr>
                  <w:tcW w:w="2507" w:type="dxa"/>
                  <w:tcBorders>
                    <w:tl2br w:val="nil"/>
                    <w:tr2bl w:val="nil"/>
                  </w:tcBorders>
                  <w:shd w:val="clear" w:color="auto" w:fill="auto"/>
                  <w:vAlign w:val="center"/>
                </w:tcPr>
                <w:p w14:paraId="3CE62E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远期规模（万</w:t>
                  </w:r>
                  <w:r>
                    <w:rPr>
                      <w:rFonts w:hint="eastAsia" w:ascii="宋体" w:hAnsi="宋体" w:eastAsia="宋体" w:cs="宋体"/>
                      <w:color w:val="auto"/>
                      <w:sz w:val="24"/>
                      <w:szCs w:val="24"/>
                      <w:lang w:val="en-US" w:eastAsia="zh-CN"/>
                    </w:rPr>
                    <w:t>m</w:t>
                  </w:r>
                  <w:r>
                    <w:rPr>
                      <w:rFonts w:hint="eastAsia" w:ascii="宋体" w:hAnsi="宋体" w:cs="宋体"/>
                      <w:color w:val="auto"/>
                      <w:sz w:val="24"/>
                      <w:szCs w:val="24"/>
                      <w:vertAlign w:val="superscript"/>
                      <w:lang w:val="en-US" w:eastAsia="zh-CN"/>
                    </w:rPr>
                    <w:t>3</w:t>
                  </w:r>
                  <w:r>
                    <w:rPr>
                      <w:rFonts w:hint="eastAsia" w:ascii="宋体" w:hAnsi="宋体" w:eastAsia="宋体" w:cs="宋体"/>
                      <w:i w:val="0"/>
                      <w:iCs w:val="0"/>
                      <w:color w:val="000000"/>
                      <w:kern w:val="0"/>
                      <w:sz w:val="22"/>
                      <w:szCs w:val="22"/>
                      <w:u w:val="none"/>
                      <w:lang w:val="en-US" w:eastAsia="zh-CN" w:bidi="ar"/>
                    </w:rPr>
                    <w:t>/d）</w:t>
                  </w:r>
                </w:p>
              </w:tc>
            </w:tr>
            <w:tr w14:paraId="0293BE3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2880" w:type="dxa"/>
                  <w:tcBorders>
                    <w:tl2br w:val="nil"/>
                    <w:tr2bl w:val="nil"/>
                  </w:tcBorders>
                  <w:shd w:val="clear" w:color="auto" w:fill="auto"/>
                  <w:vAlign w:val="center"/>
                </w:tcPr>
                <w:p w14:paraId="75B59F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岳阳市一水厂</w:t>
                  </w:r>
                </w:p>
              </w:tc>
              <w:tc>
                <w:tcPr>
                  <w:tcW w:w="2550" w:type="dxa"/>
                  <w:tcBorders>
                    <w:tl2br w:val="nil"/>
                    <w:tr2bl w:val="nil"/>
                  </w:tcBorders>
                  <w:shd w:val="clear" w:color="auto" w:fill="auto"/>
                  <w:vAlign w:val="center"/>
                </w:tcPr>
                <w:p w14:paraId="6F7F07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2507" w:type="dxa"/>
                  <w:tcBorders>
                    <w:tl2br w:val="nil"/>
                    <w:tr2bl w:val="nil"/>
                  </w:tcBorders>
                  <w:shd w:val="clear" w:color="auto" w:fill="auto"/>
                  <w:vAlign w:val="center"/>
                </w:tcPr>
                <w:p w14:paraId="43DED2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r>
            <w:tr w14:paraId="5038D1C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2880" w:type="dxa"/>
                  <w:tcBorders>
                    <w:tl2br w:val="nil"/>
                    <w:tr2bl w:val="nil"/>
                  </w:tcBorders>
                  <w:shd w:val="clear" w:color="auto" w:fill="auto"/>
                  <w:vAlign w:val="center"/>
                </w:tcPr>
                <w:p w14:paraId="5BBD9A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岳阳市二水厂</w:t>
                  </w:r>
                </w:p>
              </w:tc>
              <w:tc>
                <w:tcPr>
                  <w:tcW w:w="2550" w:type="dxa"/>
                  <w:tcBorders>
                    <w:tl2br w:val="nil"/>
                    <w:tr2bl w:val="nil"/>
                  </w:tcBorders>
                  <w:shd w:val="clear" w:color="auto" w:fill="auto"/>
                  <w:vAlign w:val="center"/>
                </w:tcPr>
                <w:p w14:paraId="14AA17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2507" w:type="dxa"/>
                  <w:tcBorders>
                    <w:tl2br w:val="nil"/>
                    <w:tr2bl w:val="nil"/>
                  </w:tcBorders>
                  <w:shd w:val="clear" w:color="auto" w:fill="auto"/>
                  <w:vAlign w:val="center"/>
                </w:tcPr>
                <w:p w14:paraId="0059BA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r>
            <w:tr w14:paraId="71A9097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2880" w:type="dxa"/>
                  <w:tcBorders>
                    <w:tl2br w:val="nil"/>
                    <w:tr2bl w:val="nil"/>
                  </w:tcBorders>
                  <w:shd w:val="clear" w:color="auto" w:fill="auto"/>
                  <w:vAlign w:val="center"/>
                </w:tcPr>
                <w:p w14:paraId="4FEADF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湖滨水厂</w:t>
                  </w:r>
                </w:p>
              </w:tc>
              <w:tc>
                <w:tcPr>
                  <w:tcW w:w="2550" w:type="dxa"/>
                  <w:tcBorders>
                    <w:tl2br w:val="nil"/>
                    <w:tr2bl w:val="nil"/>
                  </w:tcBorders>
                  <w:shd w:val="clear" w:color="auto" w:fill="auto"/>
                  <w:vAlign w:val="center"/>
                </w:tcPr>
                <w:p w14:paraId="73F47B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c>
                <w:tcPr>
                  <w:tcW w:w="2507" w:type="dxa"/>
                  <w:tcBorders>
                    <w:tl2br w:val="nil"/>
                    <w:tr2bl w:val="nil"/>
                  </w:tcBorders>
                  <w:shd w:val="clear" w:color="auto" w:fill="auto"/>
                  <w:vAlign w:val="center"/>
                </w:tcPr>
                <w:p w14:paraId="2F6BAE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r>
            <w:tr w14:paraId="0B2D854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2880" w:type="dxa"/>
                  <w:tcBorders>
                    <w:tl2br w:val="nil"/>
                    <w:tr2bl w:val="nil"/>
                  </w:tcBorders>
                  <w:shd w:val="clear" w:color="auto" w:fill="auto"/>
                  <w:vAlign w:val="center"/>
                </w:tcPr>
                <w:p w14:paraId="4C54F1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云溪水厂</w:t>
                  </w:r>
                </w:p>
              </w:tc>
              <w:tc>
                <w:tcPr>
                  <w:tcW w:w="2550" w:type="dxa"/>
                  <w:tcBorders>
                    <w:tl2br w:val="nil"/>
                    <w:tr2bl w:val="nil"/>
                  </w:tcBorders>
                  <w:shd w:val="clear" w:color="auto" w:fill="auto"/>
                  <w:vAlign w:val="center"/>
                </w:tcPr>
                <w:p w14:paraId="3EF9FB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2507" w:type="dxa"/>
                  <w:tcBorders>
                    <w:tl2br w:val="nil"/>
                    <w:tr2bl w:val="nil"/>
                  </w:tcBorders>
                  <w:shd w:val="clear" w:color="auto" w:fill="auto"/>
                  <w:vAlign w:val="center"/>
                </w:tcPr>
                <w:p w14:paraId="298F16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r>
            <w:tr w14:paraId="35E586E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2880" w:type="dxa"/>
                  <w:tcBorders>
                    <w:tl2br w:val="nil"/>
                    <w:tr2bl w:val="nil"/>
                  </w:tcBorders>
                  <w:shd w:val="clear" w:color="auto" w:fill="auto"/>
                  <w:vAlign w:val="center"/>
                </w:tcPr>
                <w:p w14:paraId="02B1B8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岳化生活水厂</w:t>
                  </w:r>
                </w:p>
              </w:tc>
              <w:tc>
                <w:tcPr>
                  <w:tcW w:w="2550" w:type="dxa"/>
                  <w:tcBorders>
                    <w:tl2br w:val="nil"/>
                    <w:tr2bl w:val="nil"/>
                  </w:tcBorders>
                  <w:shd w:val="clear" w:color="auto" w:fill="auto"/>
                  <w:vAlign w:val="center"/>
                </w:tcPr>
                <w:p w14:paraId="7D4061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2507" w:type="dxa"/>
                  <w:tcBorders>
                    <w:tl2br w:val="nil"/>
                    <w:tr2bl w:val="nil"/>
                  </w:tcBorders>
                  <w:shd w:val="clear" w:color="auto" w:fill="auto"/>
                  <w:vAlign w:val="center"/>
                </w:tcPr>
                <w:p w14:paraId="71D825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r>
            <w:tr w14:paraId="25D33C6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2880" w:type="dxa"/>
                  <w:tcBorders>
                    <w:tl2br w:val="nil"/>
                    <w:tr2bl w:val="nil"/>
                  </w:tcBorders>
                  <w:shd w:val="clear" w:color="auto" w:fill="auto"/>
                  <w:vAlign w:val="center"/>
                </w:tcPr>
                <w:p w14:paraId="4871E6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合计</w:t>
                  </w:r>
                </w:p>
              </w:tc>
              <w:tc>
                <w:tcPr>
                  <w:tcW w:w="2550" w:type="dxa"/>
                  <w:tcBorders>
                    <w:tl2br w:val="nil"/>
                    <w:tr2bl w:val="nil"/>
                  </w:tcBorders>
                  <w:shd w:val="clear" w:color="auto" w:fill="auto"/>
                  <w:vAlign w:val="center"/>
                </w:tcPr>
                <w:p w14:paraId="28F602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54</w:t>
                  </w:r>
                </w:p>
              </w:tc>
              <w:tc>
                <w:tcPr>
                  <w:tcW w:w="2507" w:type="dxa"/>
                  <w:tcBorders>
                    <w:tl2br w:val="nil"/>
                    <w:tr2bl w:val="nil"/>
                  </w:tcBorders>
                  <w:shd w:val="clear" w:color="auto" w:fill="auto"/>
                  <w:vAlign w:val="center"/>
                </w:tcPr>
                <w:p w14:paraId="5A583E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74</w:t>
                  </w:r>
                </w:p>
              </w:tc>
            </w:tr>
          </w:tbl>
          <w:p w14:paraId="34EAD18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郭镇乡、胥家桥社区、乌江村等区域分别由湖滨水厂（洞庭湖水源）、新开镇加压泵站等供水，供水能力远大于本项目新增需水量（约0.78万m</w:t>
            </w:r>
            <w:r>
              <w:rPr>
                <w:rFonts w:hint="eastAsia" w:ascii="宋体" w:hAnsi="宋体" w:cs="宋体"/>
                <w:color w:val="auto"/>
                <w:sz w:val="24"/>
                <w:szCs w:val="24"/>
                <w:vertAlign w:val="superscript"/>
                <w:lang w:val="en-US" w:eastAsia="zh-CN"/>
              </w:rPr>
              <w:t>3</w:t>
            </w:r>
            <w:r>
              <w:rPr>
                <w:rFonts w:hint="eastAsia" w:ascii="宋体" w:hAnsi="宋体" w:eastAsia="宋体" w:cs="宋体"/>
                <w:color w:val="auto"/>
                <w:sz w:val="24"/>
                <w:szCs w:val="24"/>
                <w:lang w:val="en-US" w:eastAsia="zh-CN"/>
              </w:rPr>
              <w:t>/d）。</w:t>
            </w:r>
          </w:p>
          <w:p w14:paraId="7BD038E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本项目新增最高日需水量约0.78万m</w:t>
            </w:r>
            <w:r>
              <w:rPr>
                <w:rFonts w:hint="eastAsia" w:ascii="宋体" w:hAnsi="宋体" w:cs="宋体"/>
                <w:color w:val="auto"/>
                <w:sz w:val="24"/>
                <w:szCs w:val="24"/>
                <w:vertAlign w:val="superscript"/>
                <w:lang w:val="en-US" w:eastAsia="zh-CN"/>
              </w:rPr>
              <w:t>3</w:t>
            </w:r>
            <w:r>
              <w:rPr>
                <w:rFonts w:hint="eastAsia" w:ascii="宋体" w:hAnsi="宋体" w:eastAsia="宋体" w:cs="宋体"/>
                <w:color w:val="auto"/>
                <w:sz w:val="24"/>
                <w:szCs w:val="24"/>
                <w:lang w:val="en-US" w:eastAsia="zh-CN"/>
              </w:rPr>
              <w:t>/d，供水区域现状及规划水厂总供水能力达54～74万m</w:t>
            </w:r>
            <w:r>
              <w:rPr>
                <w:rFonts w:hint="eastAsia" w:ascii="宋体" w:hAnsi="宋体" w:cs="宋体"/>
                <w:color w:val="auto"/>
                <w:sz w:val="24"/>
                <w:szCs w:val="24"/>
                <w:vertAlign w:val="superscript"/>
                <w:lang w:val="en-US" w:eastAsia="zh-CN"/>
              </w:rPr>
              <w:t>3</w:t>
            </w:r>
            <w:r>
              <w:rPr>
                <w:rFonts w:hint="eastAsia" w:ascii="宋体" w:hAnsi="宋体" w:eastAsia="宋体" w:cs="宋体"/>
                <w:color w:val="auto"/>
                <w:sz w:val="24"/>
                <w:szCs w:val="24"/>
                <w:lang w:val="en-US" w:eastAsia="zh-CN"/>
              </w:rPr>
              <w:t>/d，富余水量充足。通过新建给水管道（总长99.48km）将自来水输送至各用户，可完全满足居民生活及经营用水需求，实现供需平衡。</w:t>
            </w:r>
          </w:p>
          <w:p w14:paraId="7EB5C7C6">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default" w:ascii="宋体" w:hAnsi="宋体" w:cs="宋体"/>
                <w:b/>
                <w:bCs/>
                <w:color w:val="auto"/>
                <w:sz w:val="24"/>
                <w:szCs w:val="24"/>
                <w:lang w:val="en-US" w:eastAsia="zh-CN"/>
              </w:rPr>
            </w:pPr>
            <w:r>
              <w:rPr>
                <w:rFonts w:hint="eastAsia" w:ascii="宋体" w:hAnsi="宋体" w:cs="宋体"/>
                <w:b/>
                <w:bCs/>
                <w:color w:val="auto"/>
                <w:sz w:val="24"/>
                <w:szCs w:val="24"/>
                <w:lang w:val="en-US" w:eastAsia="zh-CN"/>
              </w:rPr>
              <w:t>6、工程占地</w:t>
            </w:r>
          </w:p>
          <w:p w14:paraId="7C7651C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color w:val="auto"/>
                <w:sz w:val="24"/>
                <w:szCs w:val="24"/>
                <w:lang w:val="en-US" w:eastAsia="zh-CN"/>
              </w:rPr>
            </w:pPr>
            <w:r>
              <w:rPr>
                <w:rFonts w:hint="eastAsia" w:ascii="宋体" w:hAnsi="宋体" w:cs="宋体"/>
                <w:color w:val="auto"/>
                <w:sz w:val="24"/>
                <w:szCs w:val="24"/>
                <w:lang w:val="en-US" w:eastAsia="zh-CN"/>
              </w:rPr>
              <w:t>本项目防洪排涝工程位于城区，属于现有工程改造；给水工程主要是管网沿现有道路、村道及田间路边敷设，项目总占地约45亩（3.0万m</w:t>
            </w:r>
            <w:r>
              <w:rPr>
                <w:rFonts w:hint="eastAsia" w:ascii="宋体" w:hAnsi="宋体" w:cs="宋体"/>
                <w:color w:val="auto"/>
                <w:sz w:val="24"/>
                <w:szCs w:val="24"/>
                <w:vertAlign w:val="superscript"/>
                <w:lang w:val="en-US" w:eastAsia="zh-CN"/>
              </w:rPr>
              <w:t>2</w:t>
            </w:r>
            <w:r>
              <w:rPr>
                <w:rFonts w:hint="eastAsia" w:ascii="宋体" w:hAnsi="宋体" w:cs="宋体"/>
                <w:color w:val="auto"/>
                <w:sz w:val="24"/>
                <w:szCs w:val="24"/>
                <w:lang w:val="en-US" w:eastAsia="zh-CN"/>
              </w:rPr>
              <w:t>）,全部是临时占地，无新增永久占地，具体如下：</w:t>
            </w:r>
          </w:p>
          <w:p w14:paraId="396D14C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（1）防洪排涝工程占地</w:t>
            </w:r>
          </w:p>
          <w:p w14:paraId="5ABBA32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本项目防洪排涝工程主要为新建雨水管道（DN2600，部分顶管、部分开挖）、新建排水管沟、清淤及附属设施施工全部为地埋式。工程位于城区既有道路及居民区内，不涉及新增永久征地。临时占地共2.0万m</w:t>
            </w:r>
            <w:r>
              <w:rPr>
                <w:rFonts w:hint="eastAsia" w:ascii="宋体" w:hAnsi="宋体" w:cs="宋体"/>
                <w:color w:val="auto"/>
                <w:sz w:val="24"/>
                <w:szCs w:val="24"/>
                <w:vertAlign w:val="superscript"/>
                <w:lang w:val="en-US" w:eastAsia="zh-CN"/>
              </w:rPr>
              <w:t>2</w:t>
            </w:r>
            <w:r>
              <w:rPr>
                <w:rFonts w:hint="eastAsia" w:ascii="宋体" w:hAnsi="宋体" w:cs="宋体"/>
                <w:color w:val="auto"/>
                <w:sz w:val="24"/>
                <w:szCs w:val="24"/>
                <w:lang w:val="en-US" w:eastAsia="zh-CN"/>
              </w:rPr>
              <w:t>（约30亩）主要用于顶管工作井/接收井施工区、开挖管槽、临时堆土场、施工便道、施工营地及材料堆放等。</w:t>
            </w:r>
          </w:p>
          <w:p w14:paraId="4EA73B14">
            <w:pPr>
              <w:pStyle w:val="19"/>
              <w:keepNext/>
              <w:keepLines w:val="0"/>
              <w:pageBreakBefore w:val="0"/>
              <w:widowControl w:val="0"/>
              <w:kinsoku/>
              <w:wordWrap/>
              <w:overflowPunct/>
              <w:topLinePunct w:val="0"/>
              <w:autoSpaceDE/>
              <w:autoSpaceDN/>
              <w:bidi w:val="0"/>
              <w:adjustRightInd/>
              <w:snapToGrid/>
              <w:spacing w:before="0"/>
              <w:textAlignment w:val="auto"/>
              <w:rPr>
                <w:rFonts w:hint="eastAsia"/>
                <w:b w:val="0"/>
                <w:bCs/>
                <w:lang w:val="en-US" w:eastAsia="zh-CN"/>
              </w:rPr>
            </w:pPr>
            <w:r>
              <w:rPr>
                <w:rFonts w:hint="eastAsia"/>
                <w:b w:val="0"/>
                <w:bCs/>
                <w:lang w:val="en-US" w:eastAsia="zh-CN"/>
              </w:rPr>
              <w:t>表2-14  防洪排涝工程施工临时用地表</w:t>
            </w:r>
          </w:p>
          <w:tbl>
            <w:tblPr>
              <w:tblStyle w:val="9"/>
              <w:tblW w:w="7937"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3330"/>
              <w:gridCol w:w="1160"/>
              <w:gridCol w:w="1275"/>
              <w:gridCol w:w="2172"/>
            </w:tblGrid>
            <w:tr w14:paraId="2ECC412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3330" w:type="dxa"/>
                  <w:tcBorders>
                    <w:tl2br w:val="nil"/>
                    <w:tr2bl w:val="nil"/>
                  </w:tcBorders>
                  <w:shd w:val="clear" w:color="auto" w:fill="auto"/>
                  <w:vAlign w:val="center"/>
                </w:tcPr>
                <w:p w14:paraId="24B061F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项目</w:t>
                  </w:r>
                </w:p>
              </w:tc>
              <w:tc>
                <w:tcPr>
                  <w:tcW w:w="1160" w:type="dxa"/>
                  <w:tcBorders>
                    <w:tl2br w:val="nil"/>
                    <w:tr2bl w:val="nil"/>
                  </w:tcBorders>
                  <w:shd w:val="clear" w:color="auto" w:fill="auto"/>
                  <w:vAlign w:val="center"/>
                </w:tcPr>
                <w:p w14:paraId="5AD51CF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建筑面积（m²）</w:t>
                  </w:r>
                </w:p>
              </w:tc>
              <w:tc>
                <w:tcPr>
                  <w:tcW w:w="1275" w:type="dxa"/>
                  <w:tcBorders>
                    <w:tl2br w:val="nil"/>
                    <w:tr2bl w:val="nil"/>
                  </w:tcBorders>
                  <w:shd w:val="clear" w:color="auto" w:fill="auto"/>
                  <w:vAlign w:val="center"/>
                </w:tcPr>
                <w:p w14:paraId="3C20AF2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用地面积（m²）</w:t>
                  </w:r>
                </w:p>
              </w:tc>
              <w:tc>
                <w:tcPr>
                  <w:tcW w:w="2172" w:type="dxa"/>
                  <w:tcBorders>
                    <w:tl2br w:val="nil"/>
                    <w:tr2bl w:val="nil"/>
                  </w:tcBorders>
                  <w:shd w:val="clear" w:color="auto" w:fill="auto"/>
                  <w:vAlign w:val="center"/>
                </w:tcPr>
                <w:p w14:paraId="1257798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地类</w:t>
                  </w:r>
                </w:p>
              </w:tc>
            </w:tr>
            <w:tr w14:paraId="5425C6E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3330" w:type="dxa"/>
                  <w:tcBorders>
                    <w:tl2br w:val="nil"/>
                    <w:tr2bl w:val="nil"/>
                  </w:tcBorders>
                  <w:shd w:val="clear" w:color="auto" w:fill="auto"/>
                  <w:vAlign w:val="center"/>
                </w:tcPr>
                <w:p w14:paraId="7DFC236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生活办公场所</w:t>
                  </w:r>
                </w:p>
              </w:tc>
              <w:tc>
                <w:tcPr>
                  <w:tcW w:w="1160" w:type="dxa"/>
                  <w:tcBorders>
                    <w:tl2br w:val="nil"/>
                    <w:tr2bl w:val="nil"/>
                  </w:tcBorders>
                  <w:shd w:val="clear" w:color="auto" w:fill="auto"/>
                  <w:vAlign w:val="center"/>
                </w:tcPr>
                <w:p w14:paraId="23B07FD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300</w:t>
                  </w:r>
                </w:p>
              </w:tc>
              <w:tc>
                <w:tcPr>
                  <w:tcW w:w="1275" w:type="dxa"/>
                  <w:tcBorders>
                    <w:tl2br w:val="nil"/>
                    <w:tr2bl w:val="nil"/>
                  </w:tcBorders>
                  <w:shd w:val="clear" w:color="auto" w:fill="auto"/>
                  <w:vAlign w:val="center"/>
                </w:tcPr>
                <w:p w14:paraId="40CBC3A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t>
                  </w:r>
                </w:p>
              </w:tc>
              <w:tc>
                <w:tcPr>
                  <w:tcW w:w="2172" w:type="dxa"/>
                  <w:tcBorders>
                    <w:tl2br w:val="nil"/>
                    <w:tr2bl w:val="nil"/>
                  </w:tcBorders>
                  <w:shd w:val="clear" w:color="auto" w:fill="auto"/>
                  <w:vAlign w:val="center"/>
                </w:tcPr>
                <w:p w14:paraId="033A244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租用民房</w:t>
                  </w:r>
                </w:p>
              </w:tc>
            </w:tr>
            <w:tr w14:paraId="4127C84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3330" w:type="dxa"/>
                  <w:tcBorders>
                    <w:tl2br w:val="nil"/>
                    <w:tr2bl w:val="nil"/>
                  </w:tcBorders>
                  <w:shd w:val="clear" w:color="auto" w:fill="auto"/>
                  <w:vAlign w:val="center"/>
                </w:tcPr>
                <w:p w14:paraId="723B775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施工仓库</w:t>
                  </w:r>
                </w:p>
              </w:tc>
              <w:tc>
                <w:tcPr>
                  <w:tcW w:w="1160" w:type="dxa"/>
                  <w:tcBorders>
                    <w:tl2br w:val="nil"/>
                    <w:tr2bl w:val="nil"/>
                  </w:tcBorders>
                  <w:shd w:val="clear" w:color="auto" w:fill="auto"/>
                  <w:vAlign w:val="center"/>
                </w:tcPr>
                <w:p w14:paraId="6798051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200</w:t>
                  </w:r>
                </w:p>
              </w:tc>
              <w:tc>
                <w:tcPr>
                  <w:tcW w:w="1275" w:type="dxa"/>
                  <w:tcBorders>
                    <w:tl2br w:val="nil"/>
                    <w:tr2bl w:val="nil"/>
                  </w:tcBorders>
                  <w:shd w:val="clear" w:color="auto" w:fill="auto"/>
                  <w:vAlign w:val="center"/>
                </w:tcPr>
                <w:p w14:paraId="5CA3328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t>
                  </w:r>
                </w:p>
              </w:tc>
              <w:tc>
                <w:tcPr>
                  <w:tcW w:w="2172" w:type="dxa"/>
                  <w:tcBorders>
                    <w:tl2br w:val="nil"/>
                    <w:tr2bl w:val="nil"/>
                  </w:tcBorders>
                  <w:shd w:val="clear" w:color="auto" w:fill="auto"/>
                  <w:vAlign w:val="center"/>
                </w:tcPr>
                <w:p w14:paraId="49FA6F4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租用</w:t>
                  </w:r>
                </w:p>
              </w:tc>
            </w:tr>
            <w:tr w14:paraId="5D6F854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3330" w:type="dxa"/>
                  <w:tcBorders>
                    <w:tl2br w:val="nil"/>
                    <w:tr2bl w:val="nil"/>
                  </w:tcBorders>
                  <w:shd w:val="clear" w:color="auto" w:fill="auto"/>
                  <w:vAlign w:val="center"/>
                </w:tcPr>
                <w:p w14:paraId="517FC0A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综合加工厂（钢筋、模板）</w:t>
                  </w:r>
                </w:p>
              </w:tc>
              <w:tc>
                <w:tcPr>
                  <w:tcW w:w="1160" w:type="dxa"/>
                  <w:tcBorders>
                    <w:tl2br w:val="nil"/>
                    <w:tr2bl w:val="nil"/>
                  </w:tcBorders>
                  <w:shd w:val="clear" w:color="auto" w:fill="auto"/>
                  <w:vAlign w:val="center"/>
                </w:tcPr>
                <w:p w14:paraId="030E18F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150</w:t>
                  </w:r>
                </w:p>
              </w:tc>
              <w:tc>
                <w:tcPr>
                  <w:tcW w:w="1275" w:type="dxa"/>
                  <w:tcBorders>
                    <w:tl2br w:val="nil"/>
                    <w:tr2bl w:val="nil"/>
                  </w:tcBorders>
                  <w:shd w:val="clear" w:color="auto" w:fill="auto"/>
                  <w:vAlign w:val="center"/>
                </w:tcPr>
                <w:p w14:paraId="25F8FC0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300</w:t>
                  </w:r>
                </w:p>
              </w:tc>
              <w:tc>
                <w:tcPr>
                  <w:tcW w:w="2172" w:type="dxa"/>
                  <w:tcBorders>
                    <w:tl2br w:val="nil"/>
                    <w:tr2bl w:val="nil"/>
                  </w:tcBorders>
                  <w:shd w:val="clear" w:color="auto" w:fill="auto"/>
                  <w:vAlign w:val="center"/>
                </w:tcPr>
                <w:p w14:paraId="7471C12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道路红线外闲置地</w:t>
                  </w:r>
                </w:p>
              </w:tc>
            </w:tr>
            <w:tr w14:paraId="6DA3172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3330" w:type="dxa"/>
                  <w:tcBorders>
                    <w:tl2br w:val="nil"/>
                    <w:tr2bl w:val="nil"/>
                  </w:tcBorders>
                  <w:shd w:val="clear" w:color="auto" w:fill="auto"/>
                  <w:vAlign w:val="center"/>
                </w:tcPr>
                <w:p w14:paraId="735D578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临时堆土场</w:t>
                  </w:r>
                </w:p>
              </w:tc>
              <w:tc>
                <w:tcPr>
                  <w:tcW w:w="1160" w:type="dxa"/>
                  <w:tcBorders>
                    <w:tl2br w:val="nil"/>
                    <w:tr2bl w:val="nil"/>
                  </w:tcBorders>
                  <w:shd w:val="clear" w:color="auto" w:fill="auto"/>
                  <w:vAlign w:val="center"/>
                </w:tcPr>
                <w:p w14:paraId="117047F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t>
                  </w:r>
                </w:p>
              </w:tc>
              <w:tc>
                <w:tcPr>
                  <w:tcW w:w="1275" w:type="dxa"/>
                  <w:tcBorders>
                    <w:tl2br w:val="nil"/>
                    <w:tr2bl w:val="nil"/>
                  </w:tcBorders>
                  <w:shd w:val="clear" w:color="auto" w:fill="auto"/>
                  <w:vAlign w:val="center"/>
                </w:tcPr>
                <w:p w14:paraId="17BC5B0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8000</w:t>
                  </w:r>
                </w:p>
              </w:tc>
              <w:tc>
                <w:tcPr>
                  <w:tcW w:w="2172" w:type="dxa"/>
                  <w:tcBorders>
                    <w:tl2br w:val="nil"/>
                    <w:tr2bl w:val="nil"/>
                  </w:tcBorders>
                  <w:shd w:val="clear" w:color="auto" w:fill="auto"/>
                  <w:vAlign w:val="center"/>
                </w:tcPr>
                <w:p w14:paraId="264CC50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道路沿线临时占用</w:t>
                  </w:r>
                </w:p>
              </w:tc>
            </w:tr>
            <w:tr w14:paraId="10BD831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3330" w:type="dxa"/>
                  <w:tcBorders>
                    <w:tl2br w:val="nil"/>
                    <w:tr2bl w:val="nil"/>
                  </w:tcBorders>
                  <w:shd w:val="clear" w:color="auto" w:fill="auto"/>
                  <w:vAlign w:val="center"/>
                </w:tcPr>
                <w:p w14:paraId="21CD968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顶管工作井/接收井施工区</w:t>
                  </w:r>
                </w:p>
              </w:tc>
              <w:tc>
                <w:tcPr>
                  <w:tcW w:w="1160" w:type="dxa"/>
                  <w:tcBorders>
                    <w:tl2br w:val="nil"/>
                    <w:tr2bl w:val="nil"/>
                  </w:tcBorders>
                  <w:shd w:val="clear" w:color="auto" w:fill="auto"/>
                  <w:vAlign w:val="center"/>
                </w:tcPr>
                <w:p w14:paraId="75F1F9D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t>
                  </w:r>
                </w:p>
              </w:tc>
              <w:tc>
                <w:tcPr>
                  <w:tcW w:w="1275" w:type="dxa"/>
                  <w:tcBorders>
                    <w:tl2br w:val="nil"/>
                    <w:tr2bl w:val="nil"/>
                  </w:tcBorders>
                  <w:shd w:val="clear" w:color="auto" w:fill="auto"/>
                  <w:vAlign w:val="center"/>
                </w:tcPr>
                <w:p w14:paraId="44D8A06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5000</w:t>
                  </w:r>
                </w:p>
              </w:tc>
              <w:tc>
                <w:tcPr>
                  <w:tcW w:w="2172" w:type="dxa"/>
                  <w:tcBorders>
                    <w:tl2br w:val="nil"/>
                    <w:tr2bl w:val="nil"/>
                  </w:tcBorders>
                  <w:shd w:val="clear" w:color="auto" w:fill="auto"/>
                  <w:vAlign w:val="center"/>
                </w:tcPr>
                <w:p w14:paraId="3BF9B46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道路及人行道</w:t>
                  </w:r>
                </w:p>
              </w:tc>
            </w:tr>
            <w:tr w14:paraId="3E0A7FB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3330" w:type="dxa"/>
                  <w:tcBorders>
                    <w:tl2br w:val="nil"/>
                    <w:tr2bl w:val="nil"/>
                  </w:tcBorders>
                  <w:shd w:val="clear" w:color="auto" w:fill="auto"/>
                  <w:vAlign w:val="center"/>
                </w:tcPr>
                <w:p w14:paraId="19289C9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施工便道</w:t>
                  </w:r>
                </w:p>
              </w:tc>
              <w:tc>
                <w:tcPr>
                  <w:tcW w:w="1160" w:type="dxa"/>
                  <w:tcBorders>
                    <w:tl2br w:val="nil"/>
                    <w:tr2bl w:val="nil"/>
                  </w:tcBorders>
                  <w:shd w:val="clear" w:color="auto" w:fill="auto"/>
                  <w:vAlign w:val="center"/>
                </w:tcPr>
                <w:p w14:paraId="58036CF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t>
                  </w:r>
                </w:p>
              </w:tc>
              <w:tc>
                <w:tcPr>
                  <w:tcW w:w="1275" w:type="dxa"/>
                  <w:tcBorders>
                    <w:tl2br w:val="nil"/>
                    <w:tr2bl w:val="nil"/>
                  </w:tcBorders>
                  <w:shd w:val="clear" w:color="auto" w:fill="auto"/>
                  <w:vAlign w:val="center"/>
                </w:tcPr>
                <w:p w14:paraId="416F78C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6000</w:t>
                  </w:r>
                </w:p>
              </w:tc>
              <w:tc>
                <w:tcPr>
                  <w:tcW w:w="2172" w:type="dxa"/>
                  <w:tcBorders>
                    <w:tl2br w:val="nil"/>
                    <w:tr2bl w:val="nil"/>
                  </w:tcBorders>
                  <w:shd w:val="clear" w:color="auto" w:fill="auto"/>
                  <w:vAlign w:val="center"/>
                </w:tcPr>
                <w:p w14:paraId="293EADC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现有道路临时封闭</w:t>
                  </w:r>
                </w:p>
              </w:tc>
            </w:tr>
            <w:tr w14:paraId="354A74D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3330" w:type="dxa"/>
                  <w:tcBorders>
                    <w:tl2br w:val="nil"/>
                    <w:tr2bl w:val="nil"/>
                  </w:tcBorders>
                  <w:shd w:val="clear" w:color="auto" w:fill="auto"/>
                  <w:vAlign w:val="center"/>
                </w:tcPr>
                <w:p w14:paraId="43901F8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其他（材料堆场等）</w:t>
                  </w:r>
                </w:p>
              </w:tc>
              <w:tc>
                <w:tcPr>
                  <w:tcW w:w="1160" w:type="dxa"/>
                  <w:tcBorders>
                    <w:tl2br w:val="nil"/>
                    <w:tr2bl w:val="nil"/>
                  </w:tcBorders>
                  <w:shd w:val="clear" w:color="auto" w:fill="auto"/>
                  <w:vAlign w:val="center"/>
                </w:tcPr>
                <w:p w14:paraId="1576741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t>
                  </w:r>
                </w:p>
              </w:tc>
              <w:tc>
                <w:tcPr>
                  <w:tcW w:w="1275" w:type="dxa"/>
                  <w:tcBorders>
                    <w:tl2br w:val="nil"/>
                    <w:tr2bl w:val="nil"/>
                  </w:tcBorders>
                  <w:shd w:val="clear" w:color="auto" w:fill="auto"/>
                  <w:vAlign w:val="center"/>
                </w:tcPr>
                <w:p w14:paraId="3A0B6F7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700</w:t>
                  </w:r>
                </w:p>
              </w:tc>
              <w:tc>
                <w:tcPr>
                  <w:tcW w:w="2172" w:type="dxa"/>
                  <w:tcBorders>
                    <w:tl2br w:val="nil"/>
                    <w:tr2bl w:val="nil"/>
                  </w:tcBorders>
                  <w:shd w:val="clear" w:color="auto" w:fill="auto"/>
                  <w:vAlign w:val="center"/>
                </w:tcPr>
                <w:p w14:paraId="7A8ABFB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零星用地</w:t>
                  </w:r>
                </w:p>
              </w:tc>
            </w:tr>
            <w:tr w14:paraId="56AD5EC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3330" w:type="dxa"/>
                  <w:tcBorders>
                    <w:tl2br w:val="nil"/>
                    <w:tr2bl w:val="nil"/>
                  </w:tcBorders>
                  <w:shd w:val="clear" w:color="auto" w:fill="auto"/>
                  <w:vAlign w:val="center"/>
                </w:tcPr>
                <w:p w14:paraId="2ECF4CA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合计</w:t>
                  </w:r>
                </w:p>
              </w:tc>
              <w:tc>
                <w:tcPr>
                  <w:tcW w:w="1160" w:type="dxa"/>
                  <w:tcBorders>
                    <w:tl2br w:val="nil"/>
                    <w:tr2bl w:val="nil"/>
                  </w:tcBorders>
                  <w:shd w:val="clear" w:color="auto" w:fill="auto"/>
                  <w:vAlign w:val="center"/>
                </w:tcPr>
                <w:p w14:paraId="2AD5137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650</w:t>
                  </w:r>
                </w:p>
              </w:tc>
              <w:tc>
                <w:tcPr>
                  <w:tcW w:w="1275" w:type="dxa"/>
                  <w:tcBorders>
                    <w:tl2br w:val="nil"/>
                    <w:tr2bl w:val="nil"/>
                  </w:tcBorders>
                  <w:shd w:val="clear" w:color="auto" w:fill="auto"/>
                  <w:vAlign w:val="center"/>
                </w:tcPr>
                <w:p w14:paraId="09A9656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20000</w:t>
                  </w:r>
                </w:p>
              </w:tc>
              <w:tc>
                <w:tcPr>
                  <w:tcW w:w="2172" w:type="dxa"/>
                  <w:tcBorders>
                    <w:tl2br w:val="nil"/>
                    <w:tr2bl w:val="nil"/>
                  </w:tcBorders>
                  <w:shd w:val="clear" w:color="auto" w:fill="auto"/>
                  <w:vAlign w:val="center"/>
                </w:tcPr>
                <w:p w14:paraId="2F90B48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w:t>
                  </w:r>
                </w:p>
              </w:tc>
            </w:tr>
          </w:tbl>
          <w:p w14:paraId="383D5F1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（2）给水工程占地</w:t>
            </w:r>
          </w:p>
          <w:p w14:paraId="17F5628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FF0000"/>
                <w:sz w:val="24"/>
                <w:szCs w:val="24"/>
                <w:lang w:val="en-US" w:eastAsia="zh-CN"/>
              </w:rPr>
            </w:pPr>
            <w:r>
              <w:rPr>
                <w:rFonts w:hint="eastAsia" w:ascii="宋体" w:hAnsi="宋体" w:cs="宋体"/>
                <w:color w:val="auto"/>
                <w:sz w:val="24"/>
                <w:szCs w:val="24"/>
                <w:lang w:val="en-US" w:eastAsia="zh-CN"/>
              </w:rPr>
              <w:t>本项目给水工程为城乡供水一体化及农村安全饮水管道延伸，管线总长约99.48km，沿现有道路、村道及田间路边敷设，为地埋式，仓田村泵站原为历史上村集体供水泵站，已废弃，现根据统一自来水供水管网建设需要，对该泵站进行拆除重建，不涉及新增永久征地。临时占地共1.0万m</w:t>
            </w:r>
            <w:r>
              <w:rPr>
                <w:rFonts w:hint="eastAsia" w:ascii="宋体" w:hAnsi="宋体" w:cs="宋体"/>
                <w:color w:val="auto"/>
                <w:sz w:val="24"/>
                <w:szCs w:val="24"/>
                <w:vertAlign w:val="superscript"/>
                <w:lang w:val="en-US" w:eastAsia="zh-CN"/>
              </w:rPr>
              <w:t>2</w:t>
            </w:r>
            <w:r>
              <w:rPr>
                <w:rFonts w:hint="eastAsia" w:ascii="宋体" w:hAnsi="宋体" w:cs="宋体"/>
                <w:color w:val="auto"/>
                <w:sz w:val="24"/>
                <w:szCs w:val="24"/>
                <w:lang w:val="en-US" w:eastAsia="zh-CN"/>
              </w:rPr>
              <w:t>（约15亩）主要为管沟开挖堆土、施工便道、材料堆放及施工营地等。</w:t>
            </w:r>
          </w:p>
          <w:p w14:paraId="0223FE68">
            <w:pPr>
              <w:pStyle w:val="19"/>
              <w:keepNext/>
              <w:keepLines w:val="0"/>
              <w:pageBreakBefore w:val="0"/>
              <w:widowControl w:val="0"/>
              <w:kinsoku/>
              <w:wordWrap/>
              <w:overflowPunct/>
              <w:topLinePunct w:val="0"/>
              <w:autoSpaceDE/>
              <w:autoSpaceDN/>
              <w:bidi w:val="0"/>
              <w:adjustRightInd/>
              <w:snapToGrid/>
              <w:spacing w:before="0"/>
              <w:textAlignment w:val="auto"/>
              <w:rPr>
                <w:rFonts w:hint="eastAsia"/>
                <w:b w:val="0"/>
                <w:bCs/>
                <w:lang w:val="en-US" w:eastAsia="zh-CN"/>
              </w:rPr>
            </w:pPr>
            <w:r>
              <w:rPr>
                <w:rFonts w:hint="eastAsia"/>
                <w:b w:val="0"/>
                <w:bCs/>
                <w:lang w:val="en-US" w:eastAsia="zh-CN"/>
              </w:rPr>
              <w:t>表2-15   给水工程施工临时用地表</w:t>
            </w:r>
          </w:p>
          <w:tbl>
            <w:tblPr>
              <w:tblStyle w:val="9"/>
              <w:tblW w:w="7937"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3300"/>
              <w:gridCol w:w="1280"/>
              <w:gridCol w:w="1150"/>
              <w:gridCol w:w="2207"/>
            </w:tblGrid>
            <w:tr w14:paraId="2CB9BFC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3300" w:type="dxa"/>
                  <w:tcBorders>
                    <w:tl2br w:val="nil"/>
                    <w:tr2bl w:val="nil"/>
                  </w:tcBorders>
                  <w:shd w:val="clear" w:color="auto" w:fill="auto"/>
                  <w:noWrap/>
                  <w:vAlign w:val="center"/>
                </w:tcPr>
                <w:p w14:paraId="74D5EF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项目</w:t>
                  </w:r>
                </w:p>
              </w:tc>
              <w:tc>
                <w:tcPr>
                  <w:tcW w:w="1280" w:type="dxa"/>
                  <w:tcBorders>
                    <w:tl2br w:val="nil"/>
                    <w:tr2bl w:val="nil"/>
                  </w:tcBorders>
                  <w:shd w:val="clear" w:color="auto" w:fill="auto"/>
                  <w:noWrap/>
                  <w:vAlign w:val="center"/>
                </w:tcPr>
                <w:p w14:paraId="134660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建筑面积（m²）</w:t>
                  </w:r>
                </w:p>
              </w:tc>
              <w:tc>
                <w:tcPr>
                  <w:tcW w:w="1150" w:type="dxa"/>
                  <w:tcBorders>
                    <w:tl2br w:val="nil"/>
                    <w:tr2bl w:val="nil"/>
                  </w:tcBorders>
                  <w:shd w:val="clear" w:color="auto" w:fill="auto"/>
                  <w:noWrap/>
                  <w:vAlign w:val="center"/>
                </w:tcPr>
                <w:p w14:paraId="71DF1B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用地面积（m²）</w:t>
                  </w:r>
                </w:p>
              </w:tc>
              <w:tc>
                <w:tcPr>
                  <w:tcW w:w="2207" w:type="dxa"/>
                  <w:tcBorders>
                    <w:tl2br w:val="nil"/>
                    <w:tr2bl w:val="nil"/>
                  </w:tcBorders>
                  <w:shd w:val="clear" w:color="auto" w:fill="auto"/>
                  <w:noWrap/>
                  <w:vAlign w:val="center"/>
                </w:tcPr>
                <w:p w14:paraId="223628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地类</w:t>
                  </w:r>
                </w:p>
              </w:tc>
            </w:tr>
            <w:tr w14:paraId="1AB41BB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3300" w:type="dxa"/>
                  <w:tcBorders>
                    <w:tl2br w:val="nil"/>
                    <w:tr2bl w:val="nil"/>
                  </w:tcBorders>
                  <w:shd w:val="clear" w:color="auto" w:fill="auto"/>
                  <w:noWrap/>
                  <w:vAlign w:val="center"/>
                </w:tcPr>
                <w:p w14:paraId="319D6D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生活办公场所</w:t>
                  </w:r>
                </w:p>
              </w:tc>
              <w:tc>
                <w:tcPr>
                  <w:tcW w:w="1280" w:type="dxa"/>
                  <w:tcBorders>
                    <w:tl2br w:val="nil"/>
                    <w:tr2bl w:val="nil"/>
                  </w:tcBorders>
                  <w:shd w:val="clear" w:color="auto" w:fill="auto"/>
                  <w:noWrap/>
                  <w:vAlign w:val="center"/>
                </w:tcPr>
                <w:p w14:paraId="171A62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w:t>
                  </w:r>
                </w:p>
              </w:tc>
              <w:tc>
                <w:tcPr>
                  <w:tcW w:w="1150" w:type="dxa"/>
                  <w:tcBorders>
                    <w:tl2br w:val="nil"/>
                    <w:tr2bl w:val="nil"/>
                  </w:tcBorders>
                  <w:shd w:val="clear" w:color="auto" w:fill="auto"/>
                  <w:noWrap/>
                  <w:vAlign w:val="center"/>
                </w:tcPr>
                <w:p w14:paraId="4E3BE3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2207" w:type="dxa"/>
                  <w:tcBorders>
                    <w:tl2br w:val="nil"/>
                    <w:tr2bl w:val="nil"/>
                  </w:tcBorders>
                  <w:shd w:val="clear" w:color="auto" w:fill="auto"/>
                  <w:noWrap/>
                  <w:vAlign w:val="center"/>
                </w:tcPr>
                <w:p w14:paraId="0E24E6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租用民房</w:t>
                  </w:r>
                </w:p>
              </w:tc>
            </w:tr>
            <w:tr w14:paraId="52B5787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3300" w:type="dxa"/>
                  <w:tcBorders>
                    <w:tl2br w:val="nil"/>
                    <w:tr2bl w:val="nil"/>
                  </w:tcBorders>
                  <w:shd w:val="clear" w:color="auto" w:fill="auto"/>
                  <w:noWrap/>
                  <w:vAlign w:val="center"/>
                </w:tcPr>
                <w:p w14:paraId="48E5FA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施工仓库</w:t>
                  </w:r>
                </w:p>
              </w:tc>
              <w:tc>
                <w:tcPr>
                  <w:tcW w:w="1280" w:type="dxa"/>
                  <w:tcBorders>
                    <w:tl2br w:val="nil"/>
                    <w:tr2bl w:val="nil"/>
                  </w:tcBorders>
                  <w:shd w:val="clear" w:color="auto" w:fill="auto"/>
                  <w:noWrap/>
                  <w:vAlign w:val="center"/>
                </w:tcPr>
                <w:p w14:paraId="1B56D7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300</w:t>
                  </w:r>
                </w:p>
              </w:tc>
              <w:tc>
                <w:tcPr>
                  <w:tcW w:w="1150" w:type="dxa"/>
                  <w:tcBorders>
                    <w:tl2br w:val="nil"/>
                    <w:tr2bl w:val="nil"/>
                  </w:tcBorders>
                  <w:shd w:val="clear" w:color="auto" w:fill="auto"/>
                  <w:noWrap/>
                  <w:vAlign w:val="center"/>
                </w:tcPr>
                <w:p w14:paraId="14ED80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2207" w:type="dxa"/>
                  <w:tcBorders>
                    <w:tl2br w:val="nil"/>
                    <w:tr2bl w:val="nil"/>
                  </w:tcBorders>
                  <w:shd w:val="clear" w:color="auto" w:fill="auto"/>
                  <w:noWrap/>
                  <w:vAlign w:val="center"/>
                </w:tcPr>
                <w:p w14:paraId="3B13B4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租用</w:t>
                  </w:r>
                </w:p>
              </w:tc>
            </w:tr>
            <w:tr w14:paraId="37445E0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3300" w:type="dxa"/>
                  <w:tcBorders>
                    <w:tl2br w:val="nil"/>
                    <w:tr2bl w:val="nil"/>
                  </w:tcBorders>
                  <w:shd w:val="clear" w:color="auto" w:fill="auto"/>
                  <w:noWrap/>
                  <w:vAlign w:val="center"/>
                </w:tcPr>
                <w:p w14:paraId="4540AD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综合加工厂（管材焊接、加工）</w:t>
                  </w:r>
                </w:p>
              </w:tc>
              <w:tc>
                <w:tcPr>
                  <w:tcW w:w="1280" w:type="dxa"/>
                  <w:tcBorders>
                    <w:tl2br w:val="nil"/>
                    <w:tr2bl w:val="nil"/>
                  </w:tcBorders>
                  <w:shd w:val="clear" w:color="auto" w:fill="auto"/>
                  <w:noWrap/>
                  <w:vAlign w:val="center"/>
                </w:tcPr>
                <w:p w14:paraId="5AAF20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1150" w:type="dxa"/>
                  <w:tcBorders>
                    <w:tl2br w:val="nil"/>
                    <w:tr2bl w:val="nil"/>
                  </w:tcBorders>
                  <w:shd w:val="clear" w:color="auto" w:fill="auto"/>
                  <w:noWrap/>
                  <w:vAlign w:val="center"/>
                </w:tcPr>
                <w:p w14:paraId="67E026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w:t>
                  </w:r>
                </w:p>
              </w:tc>
              <w:tc>
                <w:tcPr>
                  <w:tcW w:w="2207" w:type="dxa"/>
                  <w:tcBorders>
                    <w:tl2br w:val="nil"/>
                    <w:tr2bl w:val="nil"/>
                  </w:tcBorders>
                  <w:shd w:val="clear" w:color="auto" w:fill="auto"/>
                  <w:noWrap/>
                  <w:vAlign w:val="center"/>
                </w:tcPr>
                <w:p w14:paraId="508787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村内空地</w:t>
                  </w:r>
                </w:p>
              </w:tc>
            </w:tr>
            <w:tr w14:paraId="0DCA025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3300" w:type="dxa"/>
                  <w:tcBorders>
                    <w:tl2br w:val="nil"/>
                    <w:tr2bl w:val="nil"/>
                  </w:tcBorders>
                  <w:shd w:val="clear" w:color="auto" w:fill="auto"/>
                  <w:noWrap/>
                  <w:vAlign w:val="center"/>
                </w:tcPr>
                <w:p w14:paraId="147E84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临时堆土场</w:t>
                  </w:r>
                </w:p>
              </w:tc>
              <w:tc>
                <w:tcPr>
                  <w:tcW w:w="1280" w:type="dxa"/>
                  <w:tcBorders>
                    <w:tl2br w:val="nil"/>
                    <w:tr2bl w:val="nil"/>
                  </w:tcBorders>
                  <w:shd w:val="clear" w:color="auto" w:fill="auto"/>
                  <w:noWrap/>
                  <w:vAlign w:val="center"/>
                </w:tcPr>
                <w:p w14:paraId="422287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1150" w:type="dxa"/>
                  <w:tcBorders>
                    <w:tl2br w:val="nil"/>
                    <w:tr2bl w:val="nil"/>
                  </w:tcBorders>
                  <w:shd w:val="clear" w:color="auto" w:fill="auto"/>
                  <w:noWrap/>
                  <w:vAlign w:val="center"/>
                </w:tcPr>
                <w:p w14:paraId="028480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5000</w:t>
                  </w:r>
                </w:p>
              </w:tc>
              <w:tc>
                <w:tcPr>
                  <w:tcW w:w="2207" w:type="dxa"/>
                  <w:tcBorders>
                    <w:tl2br w:val="nil"/>
                    <w:tr2bl w:val="nil"/>
                  </w:tcBorders>
                  <w:shd w:val="clear" w:color="auto" w:fill="auto"/>
                  <w:noWrap/>
                  <w:vAlign w:val="center"/>
                </w:tcPr>
                <w:p w14:paraId="080AC2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管沟沿线临时占用</w:t>
                  </w:r>
                </w:p>
              </w:tc>
            </w:tr>
            <w:tr w14:paraId="07F4AE5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3300" w:type="dxa"/>
                  <w:tcBorders>
                    <w:tl2br w:val="nil"/>
                    <w:tr2bl w:val="nil"/>
                  </w:tcBorders>
                  <w:shd w:val="clear" w:color="auto" w:fill="auto"/>
                  <w:noWrap/>
                  <w:vAlign w:val="center"/>
                </w:tcPr>
                <w:p w14:paraId="3B8C10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施工便道</w:t>
                  </w:r>
                </w:p>
              </w:tc>
              <w:tc>
                <w:tcPr>
                  <w:tcW w:w="1280" w:type="dxa"/>
                  <w:tcBorders>
                    <w:tl2br w:val="nil"/>
                    <w:tr2bl w:val="nil"/>
                  </w:tcBorders>
                  <w:shd w:val="clear" w:color="auto" w:fill="auto"/>
                  <w:noWrap/>
                  <w:vAlign w:val="center"/>
                </w:tcPr>
                <w:p w14:paraId="740CCA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1150" w:type="dxa"/>
                  <w:tcBorders>
                    <w:tl2br w:val="nil"/>
                    <w:tr2bl w:val="nil"/>
                  </w:tcBorders>
                  <w:shd w:val="clear" w:color="auto" w:fill="auto"/>
                  <w:noWrap/>
                  <w:vAlign w:val="center"/>
                </w:tcPr>
                <w:p w14:paraId="5EAC56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4000</w:t>
                  </w:r>
                </w:p>
              </w:tc>
              <w:tc>
                <w:tcPr>
                  <w:tcW w:w="2207" w:type="dxa"/>
                  <w:tcBorders>
                    <w:tl2br w:val="nil"/>
                    <w:tr2bl w:val="nil"/>
                  </w:tcBorders>
                  <w:shd w:val="clear" w:color="auto" w:fill="auto"/>
                  <w:noWrap/>
                  <w:vAlign w:val="center"/>
                </w:tcPr>
                <w:p w14:paraId="32B6CC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现有道路或临时开辟</w:t>
                  </w:r>
                </w:p>
              </w:tc>
            </w:tr>
            <w:tr w14:paraId="39E6016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3300" w:type="dxa"/>
                  <w:tcBorders>
                    <w:tl2br w:val="nil"/>
                    <w:tr2bl w:val="nil"/>
                  </w:tcBorders>
                  <w:shd w:val="clear" w:color="auto" w:fill="auto"/>
                  <w:noWrap/>
                  <w:vAlign w:val="center"/>
                </w:tcPr>
                <w:p w14:paraId="3B6E99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其他（材料堆场等）</w:t>
                  </w:r>
                </w:p>
              </w:tc>
              <w:tc>
                <w:tcPr>
                  <w:tcW w:w="1280" w:type="dxa"/>
                  <w:tcBorders>
                    <w:tl2br w:val="nil"/>
                    <w:tr2bl w:val="nil"/>
                  </w:tcBorders>
                  <w:shd w:val="clear" w:color="auto" w:fill="auto"/>
                  <w:noWrap/>
                  <w:vAlign w:val="center"/>
                </w:tcPr>
                <w:p w14:paraId="3634D9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1150" w:type="dxa"/>
                  <w:tcBorders>
                    <w:tl2br w:val="nil"/>
                    <w:tr2bl w:val="nil"/>
                  </w:tcBorders>
                  <w:shd w:val="clear" w:color="auto" w:fill="auto"/>
                  <w:noWrap/>
                  <w:vAlign w:val="center"/>
                </w:tcPr>
                <w:p w14:paraId="1F1550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600</w:t>
                  </w:r>
                </w:p>
              </w:tc>
              <w:tc>
                <w:tcPr>
                  <w:tcW w:w="2207" w:type="dxa"/>
                  <w:tcBorders>
                    <w:tl2br w:val="nil"/>
                    <w:tr2bl w:val="nil"/>
                  </w:tcBorders>
                  <w:shd w:val="clear" w:color="auto" w:fill="auto"/>
                  <w:noWrap/>
                  <w:vAlign w:val="center"/>
                </w:tcPr>
                <w:p w14:paraId="4CE3FE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零星用地</w:t>
                  </w:r>
                </w:p>
              </w:tc>
            </w:tr>
            <w:tr w14:paraId="2C09E76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3300" w:type="dxa"/>
                  <w:tcBorders>
                    <w:tl2br w:val="nil"/>
                    <w:tr2bl w:val="nil"/>
                  </w:tcBorders>
                  <w:shd w:val="clear" w:color="auto" w:fill="auto"/>
                  <w:noWrap/>
                  <w:vAlign w:val="center"/>
                </w:tcPr>
                <w:p w14:paraId="39D786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合计</w:t>
                  </w:r>
                </w:p>
              </w:tc>
              <w:tc>
                <w:tcPr>
                  <w:tcW w:w="1280" w:type="dxa"/>
                  <w:tcBorders>
                    <w:tl2br w:val="nil"/>
                    <w:tr2bl w:val="nil"/>
                  </w:tcBorders>
                  <w:shd w:val="clear" w:color="auto" w:fill="auto"/>
                  <w:noWrap/>
                  <w:vAlign w:val="center"/>
                </w:tcPr>
                <w:p w14:paraId="68D44C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900</w:t>
                  </w:r>
                </w:p>
              </w:tc>
              <w:tc>
                <w:tcPr>
                  <w:tcW w:w="1150" w:type="dxa"/>
                  <w:tcBorders>
                    <w:tl2br w:val="nil"/>
                    <w:tr2bl w:val="nil"/>
                  </w:tcBorders>
                  <w:shd w:val="clear" w:color="auto" w:fill="auto"/>
                  <w:noWrap/>
                  <w:vAlign w:val="center"/>
                </w:tcPr>
                <w:p w14:paraId="651125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10000</w:t>
                  </w:r>
                </w:p>
              </w:tc>
              <w:tc>
                <w:tcPr>
                  <w:tcW w:w="2207" w:type="dxa"/>
                  <w:tcBorders>
                    <w:tl2br w:val="nil"/>
                    <w:tr2bl w:val="nil"/>
                  </w:tcBorders>
                  <w:shd w:val="clear" w:color="auto" w:fill="auto"/>
                  <w:noWrap/>
                  <w:vAlign w:val="center"/>
                </w:tcPr>
                <w:p w14:paraId="68A278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r>
          </w:tbl>
          <w:p w14:paraId="7F952D2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FF0000"/>
                <w:sz w:val="24"/>
                <w:szCs w:val="24"/>
                <w:lang w:val="en-US" w:eastAsia="zh-CN"/>
              </w:rPr>
            </w:pPr>
          </w:p>
        </w:tc>
      </w:tr>
      <w:tr w14:paraId="734906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845" w:type="dxa"/>
            <w:vAlign w:val="center"/>
          </w:tcPr>
          <w:p w14:paraId="06CF546C">
            <w:pPr>
              <w:adjustRightInd w:val="0"/>
              <w:snapToGrid w:val="0"/>
              <w:spacing w:before="0" w:beforeAutospacing="0" w:after="0" w:afterAutospacing="0"/>
              <w:jc w:val="center"/>
              <w:rPr>
                <w:rFonts w:hint="eastAsia" w:cs="宋体"/>
                <w:color w:val="auto"/>
                <w:sz w:val="24"/>
                <w:szCs w:val="24"/>
                <w:lang w:eastAsia="zh-CN"/>
              </w:rPr>
            </w:pPr>
            <w:r>
              <w:rPr>
                <w:rFonts w:hint="eastAsia" w:cs="宋体"/>
                <w:color w:val="auto"/>
                <w:sz w:val="21"/>
                <w:szCs w:val="21"/>
                <w:lang w:val="en-US" w:eastAsia="zh-CN"/>
              </w:rPr>
              <w:t>总平面及现场布置</w:t>
            </w:r>
          </w:p>
        </w:tc>
        <w:tc>
          <w:tcPr>
            <w:tcW w:w="8139" w:type="dxa"/>
            <w:vAlign w:val="top"/>
          </w:tcPr>
          <w:p w14:paraId="36449805">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cs="宋体"/>
                <w:b/>
                <w:bCs/>
                <w:color w:val="auto"/>
                <w:sz w:val="24"/>
                <w:szCs w:val="24"/>
                <w:lang w:val="en-US" w:eastAsia="zh-CN"/>
              </w:rPr>
            </w:pPr>
            <w:r>
              <w:rPr>
                <w:rFonts w:hint="eastAsia" w:ascii="宋体" w:hAnsi="宋体" w:cs="宋体"/>
                <w:b/>
                <w:bCs/>
                <w:color w:val="auto"/>
                <w:sz w:val="24"/>
                <w:szCs w:val="24"/>
                <w:lang w:val="en-US" w:eastAsia="zh-CN"/>
              </w:rPr>
              <w:t>1、总平面布置</w:t>
            </w:r>
          </w:p>
          <w:p w14:paraId="39FC3DD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根据《岳阳楼区城市排水防洪排涝建设项目（一期）初步设计》，分别整理出防洪排涝工程和给水工程的平面布置表述内容如下。</w:t>
            </w:r>
          </w:p>
          <w:p w14:paraId="4373915E">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cs="宋体"/>
                <w:b/>
                <w:bCs/>
                <w:color w:val="auto"/>
                <w:sz w:val="24"/>
                <w:szCs w:val="24"/>
                <w:lang w:val="en-US" w:eastAsia="zh-CN"/>
              </w:rPr>
            </w:pPr>
            <w:r>
              <w:rPr>
                <w:rFonts w:hint="eastAsia" w:ascii="宋体" w:hAnsi="宋体" w:cs="宋体"/>
                <w:b/>
                <w:bCs/>
                <w:color w:val="auto"/>
                <w:sz w:val="24"/>
                <w:szCs w:val="24"/>
                <w:lang w:val="en-US" w:eastAsia="zh-CN"/>
              </w:rPr>
              <w:t>（1）防洪排涝工程平面布置</w:t>
            </w:r>
          </w:p>
          <w:p w14:paraId="4CF7948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本项目防洪排涝工程位于岳阳市岳阳楼区，涉及洛王街道、金鹗山街道、枫桥湖街道、王家河街道等4个街道，主要改造10处积涝点。工程呈分散布局，各内涝点根据地形、汇水及现有排水设施独立或关联进行整治。</w:t>
            </w:r>
          </w:p>
          <w:p w14:paraId="24F3B83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fldChar w:fldCharType="begin"/>
            </w:r>
            <w:r>
              <w:rPr>
                <w:rFonts w:hint="eastAsia" w:ascii="宋体" w:hAnsi="宋体" w:cs="宋体"/>
                <w:color w:val="auto"/>
                <w:sz w:val="24"/>
                <w:szCs w:val="24"/>
                <w:lang w:val="en-US" w:eastAsia="zh-CN"/>
              </w:rPr>
              <w:instrText xml:space="preserve"> = 1 \* GB3 \* MERGEFORMAT </w:instrText>
            </w:r>
            <w:r>
              <w:rPr>
                <w:rFonts w:hint="eastAsia" w:ascii="宋体" w:hAnsi="宋体" w:cs="宋体"/>
                <w:color w:val="auto"/>
                <w:sz w:val="24"/>
                <w:szCs w:val="24"/>
                <w:lang w:val="en-US" w:eastAsia="zh-CN"/>
              </w:rPr>
              <w:fldChar w:fldCharType="separate"/>
            </w:r>
            <w:r>
              <w:rPr>
                <w:color w:val="auto"/>
              </w:rPr>
              <w:t>①</w:t>
            </w:r>
            <w:r>
              <w:rPr>
                <w:rFonts w:hint="eastAsia" w:ascii="宋体" w:hAnsi="宋体" w:cs="宋体"/>
                <w:color w:val="auto"/>
                <w:sz w:val="24"/>
                <w:szCs w:val="24"/>
                <w:lang w:val="en-US" w:eastAsia="zh-CN"/>
              </w:rPr>
              <w:fldChar w:fldCharType="end"/>
            </w:r>
            <w:r>
              <w:rPr>
                <w:rFonts w:hint="eastAsia" w:ascii="宋体" w:hAnsi="宋体" w:cs="宋体"/>
                <w:color w:val="auto"/>
                <w:sz w:val="24"/>
                <w:szCs w:val="24"/>
                <w:lang w:val="en-US" w:eastAsia="zh-CN"/>
              </w:rPr>
              <w:t>总体布局</w:t>
            </w:r>
          </w:p>
          <w:p w14:paraId="5CFA4D7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防洪排涝工程以新建DN2600雨水主干管为核心骨架，辅以排水管沟修复、清淤及局部截流设施，形成“主干排放+支线收集+临时滞蓄”的系统。主要工程分布如下：</w:t>
            </w:r>
          </w:p>
          <w:p w14:paraId="4088F12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巴陵路（琵琶王立交-王家河）排水管道：沿巴陵路南侧辅道自西向东敷设DN2600雨水管道，起点琵琶王立交桥，终点王家河，全长约1450m。沿线设置固定堰分流井1座（位于原DN1500合流管道处），顶管工作井及接收井若干。</w:t>
            </w:r>
          </w:p>
          <w:p w14:paraId="725D615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其它工程，如新天地排水管道、万家垅内涝点、康复医院北侧排水涵、夏万路排水沟渠、海棠社区林场组、城陵矶路跨铁路箱涵等，集中在局部清淤及沟渠修复点附近进行布置施工。</w:t>
            </w:r>
          </w:p>
          <w:p w14:paraId="35183AE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fldChar w:fldCharType="begin"/>
            </w:r>
            <w:r>
              <w:rPr>
                <w:rFonts w:hint="eastAsia" w:ascii="宋体" w:hAnsi="宋体" w:cs="宋体"/>
                <w:color w:val="auto"/>
                <w:sz w:val="24"/>
                <w:szCs w:val="24"/>
                <w:lang w:val="en-US" w:eastAsia="zh-CN"/>
              </w:rPr>
              <w:instrText xml:space="preserve"> = 2 \* GB3 \* MERGEFORMAT </w:instrText>
            </w:r>
            <w:r>
              <w:rPr>
                <w:rFonts w:hint="eastAsia" w:ascii="宋体" w:hAnsi="宋体" w:cs="宋体"/>
                <w:color w:val="auto"/>
                <w:sz w:val="24"/>
                <w:szCs w:val="24"/>
                <w:lang w:val="en-US" w:eastAsia="zh-CN"/>
              </w:rPr>
              <w:fldChar w:fldCharType="separate"/>
            </w:r>
            <w:r>
              <w:rPr>
                <w:color w:val="auto"/>
              </w:rPr>
              <w:t>②</w:t>
            </w:r>
            <w:r>
              <w:rPr>
                <w:rFonts w:hint="eastAsia" w:ascii="宋体" w:hAnsi="宋体" w:cs="宋体"/>
                <w:color w:val="auto"/>
                <w:sz w:val="24"/>
                <w:szCs w:val="24"/>
                <w:lang w:val="en-US" w:eastAsia="zh-CN"/>
              </w:rPr>
              <w:fldChar w:fldCharType="end"/>
            </w:r>
            <w:r>
              <w:rPr>
                <w:rFonts w:hint="eastAsia" w:ascii="宋体" w:hAnsi="宋体" w:cs="宋体"/>
                <w:color w:val="auto"/>
                <w:sz w:val="24"/>
                <w:szCs w:val="24"/>
                <w:lang w:val="en-US" w:eastAsia="zh-CN"/>
              </w:rPr>
              <w:t>分区布置</w:t>
            </w:r>
          </w:p>
          <w:p w14:paraId="6CCE578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1）琵琶王立交片区（巴陵路排水系统），汇水范围：洞庭大道、巴陵路沿线区域，汇水面积约85hm</w:t>
            </w:r>
            <w:r>
              <w:rPr>
                <w:rFonts w:hint="eastAsia" w:ascii="宋体" w:hAnsi="宋体" w:cs="宋体"/>
                <w:color w:val="auto"/>
                <w:sz w:val="24"/>
                <w:szCs w:val="24"/>
                <w:vertAlign w:val="superscript"/>
                <w:lang w:val="en-US" w:eastAsia="zh-CN"/>
              </w:rPr>
              <w:t>2</w:t>
            </w:r>
            <w:r>
              <w:rPr>
                <w:rFonts w:hint="eastAsia" w:ascii="宋体" w:hAnsi="宋体" w:cs="宋体"/>
                <w:color w:val="auto"/>
                <w:sz w:val="24"/>
                <w:szCs w:val="24"/>
                <w:lang w:val="en-US" w:eastAsia="zh-CN"/>
              </w:rPr>
              <w:t>。</w:t>
            </w:r>
          </w:p>
          <w:p w14:paraId="4FEF875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排水出路：新建DN2600管道排至王家河；同时保留原有DN1500管道经固定堰分流至下王组箱涵。</w:t>
            </w:r>
          </w:p>
          <w:p w14:paraId="6EA3242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2）洛王片区（新天地排水系统），汇水范围：洛王潘家地段、新天地小区周边。</w:t>
            </w:r>
          </w:p>
          <w:p w14:paraId="484248D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color w:val="auto"/>
                <w:sz w:val="24"/>
                <w:szCs w:val="24"/>
                <w:lang w:val="en-US" w:eastAsia="zh-CN"/>
              </w:rPr>
            </w:pPr>
            <w:r>
              <w:rPr>
                <w:rFonts w:hint="eastAsia" w:ascii="宋体" w:hAnsi="宋体" w:cs="宋体"/>
                <w:color w:val="auto"/>
                <w:sz w:val="24"/>
                <w:szCs w:val="24"/>
                <w:lang w:val="en-US" w:eastAsia="zh-CN"/>
              </w:rPr>
              <w:t>排水出路：新建DN2600管涵接至原洛王路主涵，最终排至王家河。</w:t>
            </w:r>
          </w:p>
          <w:p w14:paraId="79E1904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3）其他分散内涝点</w:t>
            </w:r>
          </w:p>
          <w:p w14:paraId="7BB2F7D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color w:val="auto"/>
                <w:sz w:val="24"/>
                <w:szCs w:val="24"/>
                <w:lang w:val="en-US" w:eastAsia="zh-CN"/>
              </w:rPr>
            </w:pPr>
            <w:r>
              <w:rPr>
                <w:rFonts w:hint="eastAsia" w:ascii="宋体" w:hAnsi="宋体" w:cs="宋体"/>
                <w:color w:val="auto"/>
                <w:sz w:val="24"/>
                <w:szCs w:val="24"/>
                <w:lang w:val="en-US" w:eastAsia="zh-CN"/>
              </w:rPr>
              <w:t>万家垅、康复医院北侧、夏万路、海棠社区等点位以清淤、局部改造为主，不改变原有排水去向。</w:t>
            </w:r>
          </w:p>
          <w:p w14:paraId="73A2600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fldChar w:fldCharType="begin"/>
            </w:r>
            <w:r>
              <w:rPr>
                <w:rFonts w:hint="eastAsia" w:ascii="宋体" w:hAnsi="宋体" w:cs="宋体"/>
                <w:color w:val="auto"/>
                <w:sz w:val="24"/>
                <w:szCs w:val="24"/>
                <w:lang w:val="en-US" w:eastAsia="zh-CN"/>
              </w:rPr>
              <w:instrText xml:space="preserve"> = 3 \* GB3 \* MERGEFORMAT </w:instrText>
            </w:r>
            <w:r>
              <w:rPr>
                <w:rFonts w:hint="eastAsia" w:ascii="宋体" w:hAnsi="宋体" w:cs="宋体"/>
                <w:color w:val="auto"/>
                <w:sz w:val="24"/>
                <w:szCs w:val="24"/>
                <w:lang w:val="en-US" w:eastAsia="zh-CN"/>
              </w:rPr>
              <w:fldChar w:fldCharType="separate"/>
            </w:r>
            <w:r>
              <w:rPr>
                <w:color w:val="auto"/>
              </w:rPr>
              <w:t>③</w:t>
            </w:r>
            <w:r>
              <w:rPr>
                <w:rFonts w:hint="eastAsia" w:ascii="宋体" w:hAnsi="宋体" w:cs="宋体"/>
                <w:color w:val="auto"/>
                <w:sz w:val="24"/>
                <w:szCs w:val="24"/>
                <w:lang w:val="en-US" w:eastAsia="zh-CN"/>
              </w:rPr>
              <w:fldChar w:fldCharType="end"/>
            </w:r>
            <w:r>
              <w:rPr>
                <w:rFonts w:hint="eastAsia" w:ascii="宋体" w:hAnsi="宋体" w:cs="宋体"/>
                <w:color w:val="auto"/>
                <w:sz w:val="24"/>
                <w:szCs w:val="24"/>
                <w:lang w:val="en-US" w:eastAsia="zh-CN"/>
              </w:rPr>
              <w:t>施工平面布置</w:t>
            </w:r>
          </w:p>
          <w:p w14:paraId="7E23E8C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防洪排涝工程施工呈线状分布，为减少对交通影响，顶管段工作井占用辅道或人行道，开挖段分段施工。</w:t>
            </w:r>
          </w:p>
          <w:p w14:paraId="38F7537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施工营地：设置1～2处，租赁沿线闲置民房或社区用房，用于材料堆放及小型加工。</w:t>
            </w:r>
          </w:p>
          <w:p w14:paraId="376D6A8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临时堆土场：沿管线作业带设置，宽度约3～5m。</w:t>
            </w:r>
          </w:p>
          <w:p w14:paraId="069DF89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弃渣处理：顶管泥浆经固化后外运，开挖土方尽量回填，多余弃渣运至指定消纳场。</w:t>
            </w:r>
          </w:p>
          <w:p w14:paraId="1533C615">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cs="宋体"/>
                <w:b/>
                <w:bCs/>
                <w:color w:val="auto"/>
                <w:sz w:val="24"/>
                <w:szCs w:val="24"/>
                <w:lang w:val="en-US" w:eastAsia="zh-CN"/>
              </w:rPr>
            </w:pPr>
            <w:r>
              <w:rPr>
                <w:rFonts w:hint="eastAsia" w:ascii="宋体" w:hAnsi="宋体" w:cs="宋体"/>
                <w:b/>
                <w:bCs/>
                <w:color w:val="auto"/>
                <w:sz w:val="24"/>
                <w:szCs w:val="24"/>
                <w:lang w:val="en-US" w:eastAsia="zh-CN"/>
              </w:rPr>
              <w:t>（2）给水工程平面布置</w:t>
            </w:r>
          </w:p>
          <w:p w14:paraId="71CD3D0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fldChar w:fldCharType="begin"/>
            </w:r>
            <w:r>
              <w:rPr>
                <w:rFonts w:hint="eastAsia" w:ascii="宋体" w:hAnsi="宋体" w:cs="宋体"/>
                <w:color w:val="auto"/>
                <w:sz w:val="24"/>
                <w:szCs w:val="24"/>
                <w:lang w:val="en-US" w:eastAsia="zh-CN"/>
              </w:rPr>
              <w:instrText xml:space="preserve"> = 1 \* GB3 \* MERGEFORMAT </w:instrText>
            </w:r>
            <w:r>
              <w:rPr>
                <w:rFonts w:hint="eastAsia" w:ascii="宋体" w:hAnsi="宋体" w:cs="宋体"/>
                <w:color w:val="auto"/>
                <w:sz w:val="24"/>
                <w:szCs w:val="24"/>
                <w:lang w:val="en-US" w:eastAsia="zh-CN"/>
              </w:rPr>
              <w:fldChar w:fldCharType="separate"/>
            </w:r>
            <w:r>
              <w:rPr>
                <w:color w:val="auto"/>
              </w:rPr>
              <w:t>①</w:t>
            </w:r>
            <w:r>
              <w:rPr>
                <w:rFonts w:hint="eastAsia" w:ascii="宋体" w:hAnsi="宋体" w:cs="宋体"/>
                <w:color w:val="auto"/>
                <w:sz w:val="24"/>
                <w:szCs w:val="24"/>
                <w:lang w:val="en-US" w:eastAsia="zh-CN"/>
              </w:rPr>
              <w:fldChar w:fldCharType="end"/>
            </w:r>
            <w:r>
              <w:rPr>
                <w:rFonts w:hint="eastAsia" w:ascii="宋体" w:hAnsi="宋体" w:cs="宋体"/>
                <w:color w:val="auto"/>
                <w:sz w:val="24"/>
                <w:szCs w:val="24"/>
                <w:lang w:val="en-US" w:eastAsia="zh-CN"/>
              </w:rPr>
              <w:t>总体布局</w:t>
            </w:r>
          </w:p>
          <w:p w14:paraId="28D716E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给水工程共新建给水管道总长99.48km，分为三个主要片区：梅溪街道胥家桥社区（沿G107国道、X022县道、北环线及居民区内道路敷设）、郭镇乡城乡供水一体化（涉及麻布村、磨刀村、建中村、枣树村、蔡家村、仓田村等，沿湘北大道、村道敷设）、康王乡乌江村杨埠片（沿村道敷设）。</w:t>
            </w:r>
          </w:p>
          <w:p w14:paraId="115C194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②分区布置</w:t>
            </w:r>
          </w:p>
          <w:p w14:paraId="1ABDFAD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1）梅溪街道胥家桥社区给水工程</w:t>
            </w:r>
          </w:p>
          <w:p w14:paraId="5177239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水源接驳点：两处。一处接自G107国道DN300闸阀后（节点FM-XN01），另一处接自坪田村DN100球墨管（节点FM-XN03）。</w:t>
            </w:r>
          </w:p>
          <w:p w14:paraId="012A553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管线走向：沿X022县道、G107国道、北环线敷设DN200球墨管、φ219涂塑钢管至沿江组西南侧、果园组、嘴上组、大屋组。</w:t>
            </w:r>
          </w:p>
          <w:p w14:paraId="1D046F6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沿X022县道敷设φ54涂塑钢管至沿江组东南侧。</w:t>
            </w:r>
          </w:p>
          <w:p w14:paraId="558CEED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覆盖户数：171户（其中沿江组15+21户，果园组、嘴上组、大屋组等）。</w:t>
            </w:r>
          </w:p>
          <w:p w14:paraId="7B57985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拆除原有总表：节点MT-01处拆除LXL-50总表并闷死。</w:t>
            </w:r>
          </w:p>
          <w:p w14:paraId="1845CF6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2）郭镇乡城乡供水一体化工程</w:t>
            </w:r>
          </w:p>
          <w:p w14:paraId="1EE95BA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分区：麻布、磨刀、建中、枣树四村，接自新开镇加压泵站后市政加压管网，沿村道敷设管道。</w:t>
            </w:r>
          </w:p>
          <w:p w14:paraId="4A539CB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蔡家村（金桥组、元叶组、冯家组、合兴组、万家组）：接自湘北大道市政常压管网，敷设管道。</w:t>
            </w:r>
          </w:p>
          <w:p w14:paraId="02EDE80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color w:val="auto"/>
                <w:sz w:val="24"/>
                <w:szCs w:val="24"/>
                <w:lang w:val="en-US" w:eastAsia="zh-CN"/>
              </w:rPr>
            </w:pPr>
            <w:r>
              <w:rPr>
                <w:rFonts w:hint="eastAsia" w:ascii="宋体" w:hAnsi="宋体" w:cs="宋体"/>
                <w:color w:val="auto"/>
                <w:sz w:val="24"/>
                <w:szCs w:val="24"/>
                <w:lang w:val="en-US" w:eastAsia="zh-CN"/>
              </w:rPr>
              <w:t>仓田村：赶山东路以北及赶山东路以南、武广高铁以东：</w:t>
            </w:r>
            <w:r>
              <w:rPr>
                <w:rFonts w:hint="eastAsia" w:ascii="宋体" w:hAnsi="宋体" w:cs="宋体"/>
                <w:color w:val="auto"/>
                <w:sz w:val="24"/>
                <w:szCs w:val="24"/>
                <w:highlight w:val="none"/>
                <w:lang w:val="en-US" w:eastAsia="zh-CN"/>
              </w:rPr>
              <w:t>新建（原址拆除重建）加压泵站</w:t>
            </w:r>
            <w:r>
              <w:rPr>
                <w:rFonts w:hint="eastAsia" w:ascii="宋体" w:hAnsi="宋体" w:cs="宋体"/>
                <w:color w:val="auto"/>
                <w:sz w:val="24"/>
                <w:szCs w:val="24"/>
                <w:lang w:val="en-US" w:eastAsia="zh-CN"/>
              </w:rPr>
              <w:t>后加压供水。赶山东路以南（岳阳民族职业技术学院片区）：接自新开镇加压泵站后管网。赶山东路以南、武广高铁以西（洞庭湖高级中学片区）：接自赶山东路南侧市政常压管网。覆盖户数：3614户。</w:t>
            </w:r>
          </w:p>
          <w:p w14:paraId="63A0354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3）康王乡乌江村杨埠片果场农村安全饮水管网延伸工程</w:t>
            </w:r>
          </w:p>
          <w:p w14:paraId="0370145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水源：现状市政给水管网（水压不足）。</w:t>
            </w:r>
          </w:p>
          <w:p w14:paraId="2525FAA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color w:val="auto"/>
                <w:sz w:val="24"/>
                <w:szCs w:val="24"/>
                <w:lang w:val="en-US" w:eastAsia="zh-CN"/>
              </w:rPr>
            </w:pPr>
            <w:r>
              <w:rPr>
                <w:rFonts w:hint="eastAsia" w:ascii="宋体" w:hAnsi="宋体" w:cs="宋体"/>
                <w:color w:val="auto"/>
                <w:sz w:val="24"/>
                <w:szCs w:val="24"/>
                <w:lang w:val="en-US" w:eastAsia="zh-CN"/>
              </w:rPr>
              <w:t>工程措施：</w:t>
            </w:r>
            <w:r>
              <w:rPr>
                <w:rFonts w:hint="eastAsia" w:ascii="宋体" w:hAnsi="宋体" w:cs="宋体"/>
                <w:color w:val="auto"/>
                <w:sz w:val="24"/>
                <w:szCs w:val="24"/>
                <w:highlight w:val="none"/>
                <w:lang w:val="en-US" w:eastAsia="zh-CN"/>
              </w:rPr>
              <w:t>更换加压泵站设备，沿村道敷设给水管道，解决18户居民用水及周边水压不足问题。</w:t>
            </w:r>
          </w:p>
          <w:p w14:paraId="6053011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fldChar w:fldCharType="begin"/>
            </w:r>
            <w:r>
              <w:rPr>
                <w:rFonts w:hint="eastAsia" w:ascii="宋体" w:hAnsi="宋体" w:cs="宋体"/>
                <w:color w:val="auto"/>
                <w:sz w:val="24"/>
                <w:szCs w:val="24"/>
                <w:lang w:val="en-US" w:eastAsia="zh-CN"/>
              </w:rPr>
              <w:instrText xml:space="preserve"> = 3 \* GB3 \* MERGEFORMAT </w:instrText>
            </w:r>
            <w:r>
              <w:rPr>
                <w:rFonts w:hint="eastAsia" w:ascii="宋体" w:hAnsi="宋体" w:cs="宋体"/>
                <w:color w:val="auto"/>
                <w:sz w:val="24"/>
                <w:szCs w:val="24"/>
                <w:lang w:val="en-US" w:eastAsia="zh-CN"/>
              </w:rPr>
              <w:fldChar w:fldCharType="separate"/>
            </w:r>
            <w:r>
              <w:rPr>
                <w:color w:val="auto"/>
              </w:rPr>
              <w:t>③</w:t>
            </w:r>
            <w:r>
              <w:rPr>
                <w:rFonts w:hint="eastAsia" w:ascii="宋体" w:hAnsi="宋体" w:cs="宋体"/>
                <w:color w:val="auto"/>
                <w:sz w:val="24"/>
                <w:szCs w:val="24"/>
                <w:lang w:val="en-US" w:eastAsia="zh-CN"/>
              </w:rPr>
              <w:fldChar w:fldCharType="end"/>
            </w:r>
            <w:r>
              <w:rPr>
                <w:rFonts w:hint="eastAsia" w:ascii="宋体" w:hAnsi="宋体" w:cs="宋体"/>
                <w:color w:val="auto"/>
                <w:sz w:val="24"/>
                <w:szCs w:val="24"/>
                <w:lang w:val="en-US" w:eastAsia="zh-CN"/>
              </w:rPr>
              <w:t>施工平面布置</w:t>
            </w:r>
          </w:p>
          <w:p w14:paraId="5191485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给水工程管线沿现有道路、村道、田间路边敷设，呈网状或枝状分布。施工分段进行，减少对居民出行影响。</w:t>
            </w:r>
          </w:p>
          <w:p w14:paraId="29DC918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施工营地：按片区设置，郭镇乡设1～2处，梅溪街道设1处，康王乡设1处。均租赁当地民房或村集体用房。</w:t>
            </w:r>
          </w:p>
          <w:p w14:paraId="7AACF45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临时堆土场：沿管沟作业带设置，宽度约1.5～2m。</w:t>
            </w:r>
          </w:p>
          <w:p w14:paraId="4D47937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材料堆放：管材沿道路一侧堆放，设置警示标志。</w:t>
            </w:r>
          </w:p>
          <w:p w14:paraId="27719ABF">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default" w:ascii="宋体" w:hAnsi="宋体" w:cs="宋体"/>
                <w:b/>
                <w:bCs/>
                <w:color w:val="auto"/>
                <w:sz w:val="24"/>
                <w:szCs w:val="24"/>
                <w:lang w:val="en-US" w:eastAsia="zh-CN"/>
              </w:rPr>
            </w:pPr>
            <w:r>
              <w:rPr>
                <w:rFonts w:hint="eastAsia" w:ascii="宋体" w:hAnsi="宋体" w:cs="宋体"/>
                <w:b/>
                <w:bCs/>
                <w:color w:val="auto"/>
                <w:sz w:val="24"/>
                <w:szCs w:val="24"/>
                <w:lang w:val="en-US" w:eastAsia="zh-CN"/>
              </w:rPr>
              <w:t>3、施工组织及施工总平面布置</w:t>
            </w:r>
          </w:p>
          <w:p w14:paraId="4B46C21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color w:val="auto"/>
                <w:sz w:val="24"/>
                <w:szCs w:val="24"/>
                <w:lang w:val="en-US" w:eastAsia="zh-CN"/>
              </w:rPr>
            </w:pPr>
            <w:r>
              <w:rPr>
                <w:rFonts w:hint="eastAsia" w:ascii="宋体" w:hAnsi="宋体" w:cs="宋体"/>
                <w:color w:val="auto"/>
                <w:sz w:val="24"/>
                <w:szCs w:val="24"/>
                <w:lang w:val="en-US" w:eastAsia="zh-CN"/>
              </w:rPr>
              <w:t>（1）对外交通</w:t>
            </w:r>
          </w:p>
          <w:p w14:paraId="2D5EA04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防洪除涝工程位于岳阳楼区区，工程区域交通网络发达，对外交通便利。施工材料和设备可通过现有城市道路直接运抵各作业点。</w:t>
            </w:r>
          </w:p>
          <w:p w14:paraId="5B71F08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color w:val="auto"/>
                <w:sz w:val="24"/>
                <w:szCs w:val="24"/>
                <w:lang w:val="en-US" w:eastAsia="zh-CN"/>
              </w:rPr>
            </w:pPr>
            <w:r>
              <w:rPr>
                <w:rFonts w:hint="eastAsia" w:ascii="宋体" w:hAnsi="宋体" w:cs="宋体"/>
                <w:color w:val="auto"/>
                <w:sz w:val="24"/>
                <w:szCs w:val="24"/>
                <w:lang w:val="en-US" w:eastAsia="zh-CN"/>
              </w:rPr>
              <w:t>给水工程，位于岳阳楼区梅溪街道、郭镇乡、康王乡等地，附近有G107国道、湘北大道、X022县道及密集的乡村道路网，对外交通便利。管材及设备可通过货车直接运至各施工段。</w:t>
            </w:r>
          </w:p>
          <w:p w14:paraId="33AB931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color w:val="auto"/>
                <w:sz w:val="24"/>
                <w:szCs w:val="24"/>
                <w:lang w:val="en-US" w:eastAsia="zh-CN"/>
              </w:rPr>
            </w:pPr>
            <w:r>
              <w:rPr>
                <w:rFonts w:hint="eastAsia" w:ascii="宋体" w:hAnsi="宋体" w:cs="宋体"/>
                <w:color w:val="auto"/>
                <w:sz w:val="24"/>
                <w:szCs w:val="24"/>
                <w:lang w:val="en-US" w:eastAsia="zh-CN"/>
              </w:rPr>
              <w:t>（2）场内交通运输</w:t>
            </w:r>
          </w:p>
          <w:p w14:paraId="114D5C3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color w:val="auto"/>
                <w:sz w:val="24"/>
                <w:szCs w:val="24"/>
                <w:lang w:val="en-US" w:eastAsia="zh-CN"/>
              </w:rPr>
            </w:pPr>
            <w:r>
              <w:rPr>
                <w:rFonts w:hint="eastAsia" w:ascii="宋体" w:hAnsi="宋体" w:cs="宋体"/>
                <w:color w:val="auto"/>
                <w:sz w:val="24"/>
                <w:szCs w:val="24"/>
                <w:lang w:val="en-US" w:eastAsia="zh-CN"/>
              </w:rPr>
              <w:t>防洪除涝</w:t>
            </w:r>
            <w:r>
              <w:rPr>
                <w:rFonts w:hint="default" w:ascii="宋体" w:hAnsi="宋体" w:cs="宋体"/>
                <w:color w:val="auto"/>
                <w:sz w:val="24"/>
                <w:szCs w:val="24"/>
                <w:lang w:val="en-US" w:eastAsia="zh-CN"/>
              </w:rPr>
              <w:t>工程主要沿道路进行管道敷设，在施工区段设置临时围挡和交通疏导标识。对于顶管工作井及接收井等集中作业区，利用临时便道（钢板铺设）连接主路。手推车、小型挖掘机及管材运输车在封闭施工区内通行。临时道路总长约2km，采用钢板或素土路面，施工结束恢复原貌。</w:t>
            </w:r>
          </w:p>
          <w:p w14:paraId="5DB9FED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color w:val="auto"/>
                <w:sz w:val="24"/>
                <w:szCs w:val="24"/>
                <w:lang w:val="en-US" w:eastAsia="zh-CN"/>
              </w:rPr>
            </w:pPr>
            <w:r>
              <w:rPr>
                <w:rFonts w:hint="default" w:ascii="宋体" w:hAnsi="宋体" w:cs="宋体"/>
                <w:color w:val="auto"/>
                <w:sz w:val="24"/>
                <w:szCs w:val="24"/>
                <w:lang w:val="en-US" w:eastAsia="zh-CN"/>
              </w:rPr>
              <w:t>给水管道沿现有道路、村道及田间路边敷设，管沟开挖宽度小（约1m），施工分段进行。场内运输主要利用现有道路，在管沟一侧临时堆放管材和土方，手推车或小型农用车转运。不单独修建临时道路，局部需跨越农田时铺设钢板或木板便道，施工后恢复。</w:t>
            </w:r>
          </w:p>
          <w:p w14:paraId="3E4F928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color w:val="auto"/>
                <w:sz w:val="24"/>
                <w:szCs w:val="24"/>
                <w:lang w:val="en-US" w:eastAsia="zh-CN"/>
              </w:rPr>
            </w:pPr>
            <w:r>
              <w:rPr>
                <w:rFonts w:hint="eastAsia" w:ascii="宋体" w:hAnsi="宋体" w:cs="宋体"/>
                <w:color w:val="auto"/>
                <w:sz w:val="24"/>
                <w:szCs w:val="24"/>
                <w:lang w:val="en-US" w:eastAsia="zh-CN"/>
              </w:rPr>
              <w:t>（3）施工营地布置</w:t>
            </w:r>
          </w:p>
          <w:p w14:paraId="712CA14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color w:val="auto"/>
                <w:sz w:val="24"/>
                <w:szCs w:val="24"/>
                <w:lang w:val="en-US" w:eastAsia="zh-CN"/>
              </w:rPr>
            </w:pPr>
            <w:r>
              <w:rPr>
                <w:rFonts w:hint="eastAsia" w:ascii="宋体" w:hAnsi="宋体" w:cs="宋体"/>
                <w:color w:val="auto"/>
                <w:sz w:val="24"/>
                <w:szCs w:val="24"/>
                <w:lang w:val="en-US" w:eastAsia="zh-CN"/>
              </w:rPr>
              <w:t>防洪除涝</w:t>
            </w:r>
            <w:r>
              <w:rPr>
                <w:rFonts w:hint="default" w:ascii="宋体" w:hAnsi="宋体" w:cs="宋体"/>
                <w:color w:val="auto"/>
                <w:sz w:val="24"/>
                <w:szCs w:val="24"/>
                <w:lang w:val="en-US" w:eastAsia="zh-CN"/>
              </w:rPr>
              <w:t>工程</w:t>
            </w:r>
            <w:r>
              <w:rPr>
                <w:rFonts w:hint="eastAsia" w:ascii="宋体" w:hAnsi="宋体" w:cs="宋体"/>
                <w:color w:val="auto"/>
                <w:sz w:val="24"/>
                <w:szCs w:val="24"/>
                <w:lang w:val="en-US" w:eastAsia="zh-CN"/>
              </w:rPr>
              <w:t>，</w:t>
            </w:r>
            <w:r>
              <w:rPr>
                <w:rFonts w:hint="default" w:ascii="宋体" w:hAnsi="宋体" w:cs="宋体"/>
                <w:color w:val="auto"/>
                <w:sz w:val="24"/>
                <w:szCs w:val="24"/>
                <w:lang w:val="en-US" w:eastAsia="zh-CN"/>
              </w:rPr>
              <w:t>根据水工布置及工程实际情况，</w:t>
            </w:r>
            <w:r>
              <w:rPr>
                <w:rFonts w:hint="eastAsia" w:ascii="宋体" w:hAnsi="宋体" w:cs="宋体"/>
                <w:color w:val="auto"/>
                <w:sz w:val="24"/>
                <w:szCs w:val="24"/>
                <w:lang w:val="en-US" w:eastAsia="zh-CN"/>
              </w:rPr>
              <w:t>在</w:t>
            </w:r>
            <w:r>
              <w:rPr>
                <w:rFonts w:hint="default" w:ascii="宋体" w:hAnsi="宋体" w:cs="宋体"/>
                <w:color w:val="auto"/>
                <w:sz w:val="24"/>
                <w:szCs w:val="24"/>
                <w:lang w:val="en-US" w:eastAsia="zh-CN"/>
              </w:rPr>
              <w:t>集中设置1</w:t>
            </w:r>
            <w:r>
              <w:rPr>
                <w:rFonts w:hint="eastAsia" w:ascii="宋体" w:hAnsi="宋体" w:cs="宋体"/>
                <w:color w:val="auto"/>
                <w:sz w:val="24"/>
                <w:szCs w:val="24"/>
                <w:lang w:val="en-US" w:eastAsia="zh-CN"/>
              </w:rPr>
              <w:t>～2</w:t>
            </w:r>
            <w:r>
              <w:rPr>
                <w:rFonts w:hint="default" w:ascii="宋体" w:hAnsi="宋体" w:cs="宋体"/>
                <w:color w:val="auto"/>
                <w:sz w:val="24"/>
                <w:szCs w:val="24"/>
                <w:lang w:val="en-US" w:eastAsia="zh-CN"/>
              </w:rPr>
              <w:t>处施工</w:t>
            </w:r>
            <w:r>
              <w:rPr>
                <w:rFonts w:hint="eastAsia" w:ascii="宋体" w:hAnsi="宋体" w:cs="宋体"/>
                <w:color w:val="auto"/>
                <w:sz w:val="24"/>
                <w:szCs w:val="24"/>
                <w:lang w:val="en-US" w:eastAsia="zh-CN"/>
              </w:rPr>
              <w:t>营地；给水工程按三个主要片区设置施工营地：梅溪街道胥家桥社区设1处（租赁民房），郭镇乡设1～2处（租赁村集体用房或民房），康王乡乌江村设1处（租赁民房）。营地主要用于管材、配件及小型机具存放。</w:t>
            </w:r>
          </w:p>
          <w:p w14:paraId="0482DED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color w:val="auto"/>
                <w:sz w:val="24"/>
                <w:szCs w:val="24"/>
                <w:lang w:val="en-US" w:eastAsia="zh-CN"/>
              </w:rPr>
            </w:pPr>
            <w:r>
              <w:rPr>
                <w:rFonts w:hint="default" w:ascii="宋体" w:hAnsi="宋体" w:cs="宋体"/>
                <w:color w:val="auto"/>
                <w:sz w:val="24"/>
                <w:szCs w:val="24"/>
                <w:lang w:val="en-US" w:eastAsia="zh-CN"/>
              </w:rPr>
              <w:t>现浇混凝土均由附近商混站供应，施工仓库、办公及生活营地均就近租用民房。施工机械设备保养维修在城区进行，现场不设机修厂。办公及生活用房就近租用民房，员工本地招聘，不集中食宿。</w:t>
            </w:r>
          </w:p>
          <w:p w14:paraId="2690DF5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color w:val="auto"/>
                <w:sz w:val="24"/>
                <w:szCs w:val="24"/>
                <w:lang w:val="en-US" w:eastAsia="zh-CN"/>
              </w:rPr>
            </w:pPr>
            <w:r>
              <w:rPr>
                <w:rFonts w:hint="eastAsia" w:ascii="宋体" w:hAnsi="宋体" w:cs="宋体"/>
                <w:color w:val="auto"/>
                <w:sz w:val="24"/>
                <w:szCs w:val="24"/>
                <w:lang w:val="en-US" w:eastAsia="zh-CN"/>
              </w:rPr>
              <w:t>（4）土石方平衡及弃渣规划</w:t>
            </w:r>
          </w:p>
          <w:p w14:paraId="1CA7B21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color w:val="auto"/>
                <w:sz w:val="24"/>
                <w:szCs w:val="24"/>
                <w:lang w:val="en-US" w:eastAsia="zh-CN"/>
              </w:rPr>
            </w:pPr>
            <w:r>
              <w:rPr>
                <w:rFonts w:hint="eastAsia" w:ascii="宋体" w:hAnsi="宋体" w:cs="宋体"/>
                <w:color w:val="auto"/>
                <w:sz w:val="24"/>
                <w:szCs w:val="24"/>
                <w:lang w:val="en-US" w:eastAsia="zh-CN"/>
              </w:rPr>
              <w:t>防洪排涝工程：土石方开挖约1.32万m³，土方回填约0.89万m³，弃渣约0.43万m³。各施工部位回填优先利用开挖料，不足部分外购砂石料。弃渣主要为顶管工作井、接收井及开挖管槽多余土方，可就近用于周边低洼场地平整或运至指定建筑垃圾消纳场，不单独设弃渣场。</w:t>
            </w:r>
          </w:p>
          <w:p w14:paraId="5A90B411">
            <w:pPr>
              <w:pStyle w:val="19"/>
              <w:keepNext/>
              <w:keepLines w:val="0"/>
              <w:pageBreakBefore w:val="0"/>
              <w:widowControl w:val="0"/>
              <w:kinsoku/>
              <w:wordWrap/>
              <w:overflowPunct/>
              <w:topLinePunct w:val="0"/>
              <w:autoSpaceDE/>
              <w:autoSpaceDN/>
              <w:bidi w:val="0"/>
              <w:adjustRightInd/>
              <w:snapToGrid/>
              <w:spacing w:before="0"/>
              <w:textAlignment w:val="auto"/>
              <w:rPr>
                <w:rFonts w:hint="eastAsia"/>
                <w:b w:val="0"/>
                <w:bCs/>
                <w:color w:val="auto"/>
                <w:lang w:val="en-US" w:eastAsia="zh-CN"/>
              </w:rPr>
            </w:pPr>
            <w:r>
              <w:rPr>
                <w:rFonts w:hint="eastAsia"/>
                <w:b w:val="0"/>
                <w:bCs/>
                <w:color w:val="auto"/>
                <w:lang w:val="en-US" w:eastAsia="zh-CN"/>
              </w:rPr>
              <w:t>表2-16  防洪排涝工程土石方平衡表（单位：m3）</w:t>
            </w:r>
          </w:p>
          <w:tbl>
            <w:tblPr>
              <w:tblStyle w:val="9"/>
              <w:tblW w:w="7937"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2319"/>
              <w:gridCol w:w="1446"/>
              <w:gridCol w:w="1446"/>
              <w:gridCol w:w="1549"/>
              <w:gridCol w:w="1177"/>
            </w:tblGrid>
            <w:tr w14:paraId="0EBFE4A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2319" w:type="dxa"/>
                  <w:tcBorders>
                    <w:tl2br w:val="nil"/>
                    <w:tr2bl w:val="nil"/>
                  </w:tcBorders>
                  <w:shd w:val="clear" w:color="auto" w:fill="auto"/>
                  <w:noWrap/>
                  <w:vAlign w:val="center"/>
                </w:tcPr>
                <w:p w14:paraId="0E89EBF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项目</w:t>
                  </w:r>
                </w:p>
              </w:tc>
              <w:tc>
                <w:tcPr>
                  <w:tcW w:w="1446" w:type="dxa"/>
                  <w:tcBorders>
                    <w:tl2br w:val="nil"/>
                    <w:tr2bl w:val="nil"/>
                  </w:tcBorders>
                  <w:shd w:val="clear" w:color="auto" w:fill="auto"/>
                  <w:noWrap/>
                  <w:vAlign w:val="center"/>
                </w:tcPr>
                <w:p w14:paraId="417977F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土石方开挖</w:t>
                  </w:r>
                </w:p>
              </w:tc>
              <w:tc>
                <w:tcPr>
                  <w:tcW w:w="1446" w:type="dxa"/>
                  <w:tcBorders>
                    <w:tl2br w:val="nil"/>
                    <w:tr2bl w:val="nil"/>
                  </w:tcBorders>
                  <w:shd w:val="clear" w:color="auto" w:fill="auto"/>
                  <w:noWrap/>
                  <w:vAlign w:val="center"/>
                </w:tcPr>
                <w:p w14:paraId="0D6A422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土方回填</w:t>
                  </w:r>
                </w:p>
              </w:tc>
              <w:tc>
                <w:tcPr>
                  <w:tcW w:w="1549" w:type="dxa"/>
                  <w:tcBorders>
                    <w:tl2br w:val="nil"/>
                    <w:tr2bl w:val="nil"/>
                  </w:tcBorders>
                  <w:shd w:val="clear" w:color="auto" w:fill="auto"/>
                  <w:noWrap/>
                  <w:vAlign w:val="center"/>
                </w:tcPr>
                <w:p w14:paraId="1625A51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本段利用</w:t>
                  </w:r>
                </w:p>
              </w:tc>
              <w:tc>
                <w:tcPr>
                  <w:tcW w:w="1177" w:type="dxa"/>
                  <w:tcBorders>
                    <w:tl2br w:val="nil"/>
                    <w:tr2bl w:val="nil"/>
                  </w:tcBorders>
                  <w:shd w:val="clear" w:color="auto" w:fill="auto"/>
                  <w:noWrap/>
                  <w:vAlign w:val="center"/>
                </w:tcPr>
                <w:p w14:paraId="127DA4C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弃方</w:t>
                  </w:r>
                </w:p>
              </w:tc>
            </w:tr>
            <w:tr w14:paraId="49A17A1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72" w:hRule="atLeast"/>
                <w:jc w:val="center"/>
              </w:trPr>
              <w:tc>
                <w:tcPr>
                  <w:tcW w:w="2319" w:type="dxa"/>
                  <w:tcBorders>
                    <w:tl2br w:val="nil"/>
                    <w:tr2bl w:val="nil"/>
                  </w:tcBorders>
                  <w:shd w:val="clear" w:color="auto" w:fill="auto"/>
                  <w:noWrap/>
                  <w:vAlign w:val="center"/>
                </w:tcPr>
                <w:p w14:paraId="65B3B50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顶管工作井/接收井</w:t>
                  </w:r>
                </w:p>
              </w:tc>
              <w:tc>
                <w:tcPr>
                  <w:tcW w:w="1446" w:type="dxa"/>
                  <w:tcBorders>
                    <w:tl2br w:val="nil"/>
                    <w:tr2bl w:val="nil"/>
                  </w:tcBorders>
                  <w:shd w:val="clear" w:color="auto" w:fill="auto"/>
                  <w:noWrap/>
                  <w:vAlign w:val="center"/>
                </w:tcPr>
                <w:p w14:paraId="7E222F1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2240</w:t>
                  </w:r>
                </w:p>
              </w:tc>
              <w:tc>
                <w:tcPr>
                  <w:tcW w:w="1446" w:type="dxa"/>
                  <w:tcBorders>
                    <w:tl2br w:val="nil"/>
                    <w:tr2bl w:val="nil"/>
                  </w:tcBorders>
                  <w:shd w:val="clear" w:color="auto" w:fill="auto"/>
                  <w:noWrap/>
                  <w:vAlign w:val="center"/>
                </w:tcPr>
                <w:p w14:paraId="0DBD15C9">
                  <w:pPr>
                    <w:keepNext w:val="0"/>
                    <w:keepLines w:val="0"/>
                    <w:widowControl/>
                    <w:suppressLineNumbers w:val="0"/>
                    <w:jc w:val="center"/>
                    <w:textAlignment w:val="center"/>
                    <w:rPr>
                      <w:rFonts w:hint="default" w:ascii="宋体" w:hAnsi="宋体" w:eastAsia="宋体" w:cs="宋体"/>
                      <w:i w:val="0"/>
                      <w:iCs w:val="0"/>
                      <w:color w:val="auto"/>
                      <w:sz w:val="22"/>
                      <w:szCs w:val="22"/>
                      <w:u w:val="none"/>
                      <w:lang w:val="en-US"/>
                    </w:rPr>
                  </w:pPr>
                  <w:r>
                    <w:rPr>
                      <w:rFonts w:hint="eastAsia" w:ascii="宋体" w:hAnsi="宋体" w:eastAsia="宋体" w:cs="宋体"/>
                      <w:i w:val="0"/>
                      <w:iCs w:val="0"/>
                      <w:color w:val="auto"/>
                      <w:kern w:val="0"/>
                      <w:sz w:val="22"/>
                      <w:szCs w:val="22"/>
                      <w:u w:val="none"/>
                      <w:lang w:val="en-US" w:eastAsia="zh-CN" w:bidi="ar"/>
                    </w:rPr>
                    <w:t>5</w:t>
                  </w:r>
                  <w:r>
                    <w:rPr>
                      <w:rFonts w:hint="eastAsia" w:ascii="宋体" w:hAnsi="宋体" w:cs="宋体"/>
                      <w:i w:val="0"/>
                      <w:iCs w:val="0"/>
                      <w:color w:val="auto"/>
                      <w:kern w:val="0"/>
                      <w:sz w:val="22"/>
                      <w:szCs w:val="22"/>
                      <w:u w:val="none"/>
                      <w:lang w:val="en-US" w:eastAsia="zh-CN" w:bidi="ar"/>
                    </w:rPr>
                    <w:t>00</w:t>
                  </w:r>
                </w:p>
              </w:tc>
              <w:tc>
                <w:tcPr>
                  <w:tcW w:w="1549" w:type="dxa"/>
                  <w:tcBorders>
                    <w:tl2br w:val="nil"/>
                    <w:tr2bl w:val="nil"/>
                  </w:tcBorders>
                  <w:shd w:val="clear" w:color="auto" w:fill="auto"/>
                  <w:noWrap/>
                  <w:vAlign w:val="center"/>
                </w:tcPr>
                <w:p w14:paraId="3F222EC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500</w:t>
                  </w:r>
                </w:p>
              </w:tc>
              <w:tc>
                <w:tcPr>
                  <w:tcW w:w="1177" w:type="dxa"/>
                  <w:tcBorders>
                    <w:tl2br w:val="nil"/>
                    <w:tr2bl w:val="nil"/>
                  </w:tcBorders>
                  <w:shd w:val="clear" w:color="auto" w:fill="auto"/>
                  <w:noWrap/>
                  <w:vAlign w:val="center"/>
                </w:tcPr>
                <w:p w14:paraId="3E11812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1740</w:t>
                  </w:r>
                </w:p>
              </w:tc>
            </w:tr>
            <w:tr w14:paraId="76F2532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72" w:hRule="atLeast"/>
                <w:jc w:val="center"/>
              </w:trPr>
              <w:tc>
                <w:tcPr>
                  <w:tcW w:w="2319" w:type="dxa"/>
                  <w:tcBorders>
                    <w:tl2br w:val="nil"/>
                    <w:tr2bl w:val="nil"/>
                  </w:tcBorders>
                  <w:shd w:val="clear" w:color="auto" w:fill="auto"/>
                  <w:noWrap/>
                  <w:vAlign w:val="center"/>
                </w:tcPr>
                <w:p w14:paraId="7E49FD1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开挖管槽（新天地段）</w:t>
                  </w:r>
                </w:p>
              </w:tc>
              <w:tc>
                <w:tcPr>
                  <w:tcW w:w="1446" w:type="dxa"/>
                  <w:tcBorders>
                    <w:tl2br w:val="nil"/>
                    <w:tr2bl w:val="nil"/>
                  </w:tcBorders>
                  <w:shd w:val="clear" w:color="auto" w:fill="auto"/>
                  <w:noWrap/>
                  <w:vAlign w:val="center"/>
                </w:tcPr>
                <w:p w14:paraId="11B2DC3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9900</w:t>
                  </w:r>
                </w:p>
              </w:tc>
              <w:tc>
                <w:tcPr>
                  <w:tcW w:w="1446" w:type="dxa"/>
                  <w:tcBorders>
                    <w:tl2br w:val="nil"/>
                    <w:tr2bl w:val="nil"/>
                  </w:tcBorders>
                  <w:shd w:val="clear" w:color="auto" w:fill="auto"/>
                  <w:noWrap/>
                  <w:vAlign w:val="center"/>
                </w:tcPr>
                <w:p w14:paraId="0203F3E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cs="宋体"/>
                      <w:i w:val="0"/>
                      <w:iCs w:val="0"/>
                      <w:color w:val="auto"/>
                      <w:kern w:val="0"/>
                      <w:sz w:val="22"/>
                      <w:szCs w:val="22"/>
                      <w:u w:val="none"/>
                      <w:lang w:val="en-US" w:eastAsia="zh-CN" w:bidi="ar"/>
                    </w:rPr>
                    <w:t>54</w:t>
                  </w:r>
                  <w:r>
                    <w:rPr>
                      <w:rFonts w:hint="eastAsia" w:ascii="宋体" w:hAnsi="宋体" w:eastAsia="宋体" w:cs="宋体"/>
                      <w:i w:val="0"/>
                      <w:iCs w:val="0"/>
                      <w:color w:val="auto"/>
                      <w:kern w:val="0"/>
                      <w:sz w:val="22"/>
                      <w:szCs w:val="22"/>
                      <w:u w:val="none"/>
                      <w:lang w:val="en-US" w:eastAsia="zh-CN" w:bidi="ar"/>
                    </w:rPr>
                    <w:t>00</w:t>
                  </w:r>
                </w:p>
              </w:tc>
              <w:tc>
                <w:tcPr>
                  <w:tcW w:w="1549" w:type="dxa"/>
                  <w:tcBorders>
                    <w:tl2br w:val="nil"/>
                    <w:tr2bl w:val="nil"/>
                  </w:tcBorders>
                  <w:shd w:val="clear" w:color="auto" w:fill="auto"/>
                  <w:noWrap/>
                  <w:vAlign w:val="center"/>
                </w:tcPr>
                <w:p w14:paraId="77A870B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5400</w:t>
                  </w:r>
                </w:p>
              </w:tc>
              <w:tc>
                <w:tcPr>
                  <w:tcW w:w="1177" w:type="dxa"/>
                  <w:tcBorders>
                    <w:tl2br w:val="nil"/>
                    <w:tr2bl w:val="nil"/>
                  </w:tcBorders>
                  <w:shd w:val="clear" w:color="auto" w:fill="auto"/>
                  <w:noWrap/>
                  <w:vAlign w:val="center"/>
                </w:tcPr>
                <w:p w14:paraId="5E8788C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4500</w:t>
                  </w:r>
                </w:p>
              </w:tc>
            </w:tr>
            <w:tr w14:paraId="4B6F081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72" w:hRule="atLeast"/>
                <w:jc w:val="center"/>
              </w:trPr>
              <w:tc>
                <w:tcPr>
                  <w:tcW w:w="2319" w:type="dxa"/>
                  <w:tcBorders>
                    <w:tl2br w:val="nil"/>
                    <w:tr2bl w:val="nil"/>
                  </w:tcBorders>
                  <w:shd w:val="clear" w:color="auto" w:fill="auto"/>
                  <w:noWrap/>
                  <w:vAlign w:val="center"/>
                </w:tcPr>
                <w:p w14:paraId="4E40866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排水管沟开挖</w:t>
                  </w:r>
                </w:p>
              </w:tc>
              <w:tc>
                <w:tcPr>
                  <w:tcW w:w="1446" w:type="dxa"/>
                  <w:tcBorders>
                    <w:tl2br w:val="nil"/>
                    <w:tr2bl w:val="nil"/>
                  </w:tcBorders>
                  <w:shd w:val="clear" w:color="auto" w:fill="auto"/>
                  <w:noWrap/>
                  <w:vAlign w:val="center"/>
                </w:tcPr>
                <w:p w14:paraId="29ACDD2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1066</w:t>
                  </w:r>
                </w:p>
              </w:tc>
              <w:tc>
                <w:tcPr>
                  <w:tcW w:w="1446" w:type="dxa"/>
                  <w:tcBorders>
                    <w:tl2br w:val="nil"/>
                    <w:tr2bl w:val="nil"/>
                  </w:tcBorders>
                  <w:shd w:val="clear" w:color="auto" w:fill="auto"/>
                  <w:noWrap/>
                  <w:vAlign w:val="center"/>
                </w:tcPr>
                <w:p w14:paraId="42F64F4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cs="宋体"/>
                      <w:i w:val="0"/>
                      <w:iCs w:val="0"/>
                      <w:color w:val="auto"/>
                      <w:kern w:val="0"/>
                      <w:sz w:val="22"/>
                      <w:szCs w:val="22"/>
                      <w:u w:val="none"/>
                      <w:lang w:val="en-US" w:eastAsia="zh-CN" w:bidi="ar"/>
                    </w:rPr>
                    <w:t>72</w:t>
                  </w:r>
                  <w:r>
                    <w:rPr>
                      <w:rFonts w:hint="eastAsia" w:ascii="宋体" w:hAnsi="宋体" w:eastAsia="宋体" w:cs="宋体"/>
                      <w:i w:val="0"/>
                      <w:iCs w:val="0"/>
                      <w:color w:val="auto"/>
                      <w:kern w:val="0"/>
                      <w:sz w:val="22"/>
                      <w:szCs w:val="22"/>
                      <w:u w:val="none"/>
                      <w:lang w:val="en-US" w:eastAsia="zh-CN" w:bidi="ar"/>
                    </w:rPr>
                    <w:t>0</w:t>
                  </w:r>
                </w:p>
              </w:tc>
              <w:tc>
                <w:tcPr>
                  <w:tcW w:w="1549" w:type="dxa"/>
                  <w:tcBorders>
                    <w:tl2br w:val="nil"/>
                    <w:tr2bl w:val="nil"/>
                  </w:tcBorders>
                  <w:shd w:val="clear" w:color="auto" w:fill="auto"/>
                  <w:noWrap/>
                  <w:vAlign w:val="center"/>
                </w:tcPr>
                <w:p w14:paraId="303CB34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720</w:t>
                  </w:r>
                </w:p>
              </w:tc>
              <w:tc>
                <w:tcPr>
                  <w:tcW w:w="1177" w:type="dxa"/>
                  <w:tcBorders>
                    <w:tl2br w:val="nil"/>
                    <w:tr2bl w:val="nil"/>
                  </w:tcBorders>
                  <w:shd w:val="clear" w:color="auto" w:fill="auto"/>
                  <w:noWrap/>
                  <w:vAlign w:val="center"/>
                </w:tcPr>
                <w:p w14:paraId="2A22BFC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346</w:t>
                  </w:r>
                </w:p>
              </w:tc>
            </w:tr>
            <w:tr w14:paraId="5C07704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72" w:hRule="atLeast"/>
                <w:jc w:val="center"/>
              </w:trPr>
              <w:tc>
                <w:tcPr>
                  <w:tcW w:w="2319" w:type="dxa"/>
                  <w:tcBorders>
                    <w:tl2br w:val="nil"/>
                    <w:tr2bl w:val="nil"/>
                  </w:tcBorders>
                  <w:shd w:val="clear" w:color="auto" w:fill="auto"/>
                  <w:noWrap/>
                  <w:vAlign w:val="center"/>
                </w:tcPr>
                <w:p w14:paraId="5799061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其他（检查井等）</w:t>
                  </w:r>
                </w:p>
              </w:tc>
              <w:tc>
                <w:tcPr>
                  <w:tcW w:w="1446" w:type="dxa"/>
                  <w:tcBorders>
                    <w:tl2br w:val="nil"/>
                    <w:tr2bl w:val="nil"/>
                  </w:tcBorders>
                  <w:shd w:val="clear" w:color="auto" w:fill="auto"/>
                  <w:noWrap/>
                  <w:vAlign w:val="center"/>
                </w:tcPr>
                <w:p w14:paraId="1396884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w:t>
                  </w:r>
                </w:p>
              </w:tc>
              <w:tc>
                <w:tcPr>
                  <w:tcW w:w="1446" w:type="dxa"/>
                  <w:tcBorders>
                    <w:tl2br w:val="nil"/>
                    <w:tr2bl w:val="nil"/>
                  </w:tcBorders>
                  <w:shd w:val="clear" w:color="auto" w:fill="auto"/>
                  <w:noWrap/>
                  <w:vAlign w:val="center"/>
                </w:tcPr>
                <w:p w14:paraId="0F797C3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2280</w:t>
                  </w:r>
                </w:p>
              </w:tc>
              <w:tc>
                <w:tcPr>
                  <w:tcW w:w="1549" w:type="dxa"/>
                  <w:tcBorders>
                    <w:tl2br w:val="nil"/>
                    <w:tr2bl w:val="nil"/>
                  </w:tcBorders>
                  <w:shd w:val="clear" w:color="auto" w:fill="auto"/>
                  <w:noWrap/>
                  <w:vAlign w:val="center"/>
                </w:tcPr>
                <w:p w14:paraId="030168D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w:t>
                  </w:r>
                </w:p>
              </w:tc>
              <w:tc>
                <w:tcPr>
                  <w:tcW w:w="1177" w:type="dxa"/>
                  <w:tcBorders>
                    <w:tl2br w:val="nil"/>
                    <w:tr2bl w:val="nil"/>
                  </w:tcBorders>
                  <w:shd w:val="clear" w:color="auto" w:fill="auto"/>
                  <w:noWrap/>
                  <w:vAlign w:val="center"/>
                </w:tcPr>
                <w:p w14:paraId="5D1AF8A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-2280</w:t>
                  </w:r>
                </w:p>
              </w:tc>
            </w:tr>
            <w:tr w14:paraId="722C77C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2319" w:type="dxa"/>
                  <w:tcBorders>
                    <w:tl2br w:val="nil"/>
                    <w:tr2bl w:val="nil"/>
                  </w:tcBorders>
                  <w:shd w:val="clear" w:color="auto" w:fill="auto"/>
                  <w:noWrap/>
                  <w:vAlign w:val="center"/>
                </w:tcPr>
                <w:p w14:paraId="2CC964D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合计</w:t>
                  </w:r>
                </w:p>
              </w:tc>
              <w:tc>
                <w:tcPr>
                  <w:tcW w:w="1446" w:type="dxa"/>
                  <w:tcBorders>
                    <w:tl2br w:val="nil"/>
                    <w:tr2bl w:val="nil"/>
                  </w:tcBorders>
                  <w:shd w:val="clear" w:color="auto" w:fill="auto"/>
                  <w:noWrap/>
                  <w:vAlign w:val="center"/>
                </w:tcPr>
                <w:p w14:paraId="13D355A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13206</w:t>
                  </w:r>
                </w:p>
              </w:tc>
              <w:tc>
                <w:tcPr>
                  <w:tcW w:w="1446" w:type="dxa"/>
                  <w:tcBorders>
                    <w:tl2br w:val="nil"/>
                    <w:tr2bl w:val="nil"/>
                  </w:tcBorders>
                  <w:shd w:val="clear" w:color="auto" w:fill="auto"/>
                  <w:noWrap/>
                  <w:vAlign w:val="center"/>
                </w:tcPr>
                <w:p w14:paraId="03C261E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8900</w:t>
                  </w:r>
                </w:p>
              </w:tc>
              <w:tc>
                <w:tcPr>
                  <w:tcW w:w="1549" w:type="dxa"/>
                  <w:tcBorders>
                    <w:tl2br w:val="nil"/>
                    <w:tr2bl w:val="nil"/>
                  </w:tcBorders>
                  <w:shd w:val="clear" w:color="auto" w:fill="auto"/>
                  <w:noWrap/>
                  <w:vAlign w:val="center"/>
                </w:tcPr>
                <w:p w14:paraId="158DDF4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7360</w:t>
                  </w:r>
                </w:p>
              </w:tc>
              <w:tc>
                <w:tcPr>
                  <w:tcW w:w="1177" w:type="dxa"/>
                  <w:tcBorders>
                    <w:tl2br w:val="nil"/>
                    <w:tr2bl w:val="nil"/>
                  </w:tcBorders>
                  <w:shd w:val="clear" w:color="auto" w:fill="auto"/>
                  <w:noWrap/>
                  <w:vAlign w:val="center"/>
                </w:tcPr>
                <w:p w14:paraId="2F70163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4306</w:t>
                  </w:r>
                </w:p>
              </w:tc>
            </w:tr>
          </w:tbl>
          <w:p w14:paraId="0D5E123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color w:val="auto"/>
                <w:sz w:val="24"/>
                <w:szCs w:val="24"/>
                <w:lang w:val="en-US" w:eastAsia="zh-CN"/>
              </w:rPr>
            </w:pPr>
            <w:r>
              <w:rPr>
                <w:rFonts w:hint="eastAsia" w:ascii="宋体" w:hAnsi="宋体" w:cs="宋体"/>
                <w:color w:val="auto"/>
                <w:sz w:val="24"/>
                <w:szCs w:val="24"/>
                <w:lang w:val="en-US" w:eastAsia="zh-CN"/>
              </w:rPr>
              <w:t>给水工程主要工程量（基于之前推算）：土石方开挖约15万m³，土方回填约12万m³，弃渣约3万m³。开挖料优先用于管沟回填，多余弃渣可就地摊铺于周边低洼地或运至指定消纳场。管沟开挖表层耕植土单独堆放，用于后期复垦。</w:t>
            </w:r>
          </w:p>
          <w:p w14:paraId="79A01F62">
            <w:pPr>
              <w:pStyle w:val="19"/>
              <w:keepNext/>
              <w:keepLines w:val="0"/>
              <w:pageBreakBefore w:val="0"/>
              <w:widowControl w:val="0"/>
              <w:kinsoku/>
              <w:wordWrap/>
              <w:overflowPunct/>
              <w:topLinePunct w:val="0"/>
              <w:autoSpaceDE/>
              <w:autoSpaceDN/>
              <w:bidi w:val="0"/>
              <w:adjustRightInd/>
              <w:snapToGrid/>
              <w:spacing w:before="0"/>
              <w:textAlignment w:val="auto"/>
              <w:rPr>
                <w:rFonts w:hint="eastAsia"/>
                <w:b w:val="0"/>
                <w:bCs/>
                <w:color w:val="auto"/>
                <w:lang w:val="en-US" w:eastAsia="zh-CN"/>
              </w:rPr>
            </w:pPr>
            <w:r>
              <w:rPr>
                <w:rFonts w:hint="eastAsia"/>
                <w:b w:val="0"/>
                <w:bCs/>
                <w:color w:val="auto"/>
                <w:lang w:val="en-US" w:eastAsia="zh-CN"/>
              </w:rPr>
              <w:t>表2-17  给水工程土石方平衡表（单位：m3）</w:t>
            </w:r>
          </w:p>
          <w:tbl>
            <w:tblPr>
              <w:tblStyle w:val="9"/>
              <w:tblW w:w="7937"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2405"/>
              <w:gridCol w:w="1327"/>
              <w:gridCol w:w="1512"/>
              <w:gridCol w:w="1483"/>
              <w:gridCol w:w="1210"/>
            </w:tblGrid>
            <w:tr w14:paraId="7D8958C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2405" w:type="dxa"/>
                  <w:tcBorders>
                    <w:tl2br w:val="nil"/>
                    <w:tr2bl w:val="nil"/>
                  </w:tcBorders>
                  <w:shd w:val="clear" w:color="auto" w:fill="auto"/>
                  <w:noWrap/>
                  <w:vAlign w:val="center"/>
                </w:tcPr>
                <w:p w14:paraId="01AB5C3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片区</w:t>
                  </w:r>
                </w:p>
              </w:tc>
              <w:tc>
                <w:tcPr>
                  <w:tcW w:w="1327" w:type="dxa"/>
                  <w:tcBorders>
                    <w:tl2br w:val="nil"/>
                    <w:tr2bl w:val="nil"/>
                  </w:tcBorders>
                  <w:shd w:val="clear" w:color="auto" w:fill="auto"/>
                  <w:noWrap/>
                  <w:vAlign w:val="center"/>
                </w:tcPr>
                <w:p w14:paraId="7AA8422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土石方开挖</w:t>
                  </w:r>
                </w:p>
              </w:tc>
              <w:tc>
                <w:tcPr>
                  <w:tcW w:w="1512" w:type="dxa"/>
                  <w:tcBorders>
                    <w:tl2br w:val="nil"/>
                    <w:tr2bl w:val="nil"/>
                  </w:tcBorders>
                  <w:shd w:val="clear" w:color="auto" w:fill="auto"/>
                  <w:noWrap/>
                  <w:vAlign w:val="center"/>
                </w:tcPr>
                <w:p w14:paraId="6D1E5DB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本段利用</w:t>
                  </w:r>
                </w:p>
              </w:tc>
              <w:tc>
                <w:tcPr>
                  <w:tcW w:w="1483" w:type="dxa"/>
                  <w:tcBorders>
                    <w:tl2br w:val="nil"/>
                    <w:tr2bl w:val="nil"/>
                  </w:tcBorders>
                  <w:shd w:val="clear" w:color="auto" w:fill="auto"/>
                  <w:noWrap/>
                  <w:vAlign w:val="center"/>
                </w:tcPr>
                <w:p w14:paraId="6C6F3CB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土方回填</w:t>
                  </w:r>
                </w:p>
              </w:tc>
              <w:tc>
                <w:tcPr>
                  <w:tcW w:w="1210" w:type="dxa"/>
                  <w:tcBorders>
                    <w:tl2br w:val="nil"/>
                    <w:tr2bl w:val="nil"/>
                  </w:tcBorders>
                  <w:shd w:val="clear" w:color="auto" w:fill="auto"/>
                  <w:noWrap/>
                  <w:vAlign w:val="center"/>
                </w:tcPr>
                <w:p w14:paraId="5BF55B6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弃方</w:t>
                  </w:r>
                </w:p>
              </w:tc>
            </w:tr>
            <w:tr w14:paraId="77293AA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2405" w:type="dxa"/>
                  <w:tcBorders>
                    <w:tl2br w:val="nil"/>
                    <w:tr2bl w:val="nil"/>
                  </w:tcBorders>
                  <w:shd w:val="clear" w:color="auto" w:fill="auto"/>
                  <w:noWrap/>
                  <w:vAlign w:val="center"/>
                </w:tcPr>
                <w:p w14:paraId="1590DC9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梅溪街道胥家桥社区</w:t>
                  </w:r>
                </w:p>
              </w:tc>
              <w:tc>
                <w:tcPr>
                  <w:tcW w:w="1327" w:type="dxa"/>
                  <w:tcBorders>
                    <w:tl2br w:val="nil"/>
                    <w:tr2bl w:val="nil"/>
                  </w:tcBorders>
                  <w:shd w:val="clear" w:color="auto" w:fill="auto"/>
                  <w:noWrap/>
                  <w:vAlign w:val="center"/>
                </w:tcPr>
                <w:p w14:paraId="5802E79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11268</w:t>
                  </w:r>
                </w:p>
              </w:tc>
              <w:tc>
                <w:tcPr>
                  <w:tcW w:w="1512" w:type="dxa"/>
                  <w:tcBorders>
                    <w:tl2br w:val="nil"/>
                    <w:tr2bl w:val="nil"/>
                  </w:tcBorders>
                  <w:shd w:val="clear" w:color="auto" w:fill="auto"/>
                  <w:noWrap/>
                  <w:vAlign w:val="center"/>
                </w:tcPr>
                <w:p w14:paraId="57BC6AF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9000</w:t>
                  </w:r>
                </w:p>
              </w:tc>
              <w:tc>
                <w:tcPr>
                  <w:tcW w:w="1483" w:type="dxa"/>
                  <w:tcBorders>
                    <w:tl2br w:val="nil"/>
                    <w:tr2bl w:val="nil"/>
                  </w:tcBorders>
                  <w:shd w:val="clear" w:color="auto" w:fill="auto"/>
                  <w:noWrap/>
                  <w:vAlign w:val="center"/>
                </w:tcPr>
                <w:p w14:paraId="2B94548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8100</w:t>
                  </w:r>
                </w:p>
              </w:tc>
              <w:tc>
                <w:tcPr>
                  <w:tcW w:w="1210" w:type="dxa"/>
                  <w:tcBorders>
                    <w:tl2br w:val="nil"/>
                    <w:tr2bl w:val="nil"/>
                  </w:tcBorders>
                  <w:shd w:val="clear" w:color="auto" w:fill="auto"/>
                  <w:noWrap/>
                  <w:vAlign w:val="center"/>
                </w:tcPr>
                <w:p w14:paraId="1F69720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3168</w:t>
                  </w:r>
                </w:p>
              </w:tc>
            </w:tr>
            <w:tr w14:paraId="72D012A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2405" w:type="dxa"/>
                  <w:tcBorders>
                    <w:tl2br w:val="nil"/>
                    <w:tr2bl w:val="nil"/>
                  </w:tcBorders>
                  <w:shd w:val="clear" w:color="auto" w:fill="auto"/>
                  <w:noWrap/>
                  <w:vAlign w:val="center"/>
                </w:tcPr>
                <w:p w14:paraId="7DDF031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郭镇乡（麻布、磨刀等）</w:t>
                  </w:r>
                </w:p>
              </w:tc>
              <w:tc>
                <w:tcPr>
                  <w:tcW w:w="1327" w:type="dxa"/>
                  <w:tcBorders>
                    <w:tl2br w:val="nil"/>
                    <w:tr2bl w:val="nil"/>
                  </w:tcBorders>
                  <w:shd w:val="clear" w:color="auto" w:fill="auto"/>
                  <w:noWrap/>
                  <w:vAlign w:val="center"/>
                </w:tcPr>
                <w:p w14:paraId="73E7955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129708</w:t>
                  </w:r>
                </w:p>
              </w:tc>
              <w:tc>
                <w:tcPr>
                  <w:tcW w:w="1512" w:type="dxa"/>
                  <w:tcBorders>
                    <w:tl2br w:val="nil"/>
                    <w:tr2bl w:val="nil"/>
                  </w:tcBorders>
                  <w:shd w:val="clear" w:color="auto" w:fill="auto"/>
                  <w:noWrap/>
                  <w:vAlign w:val="center"/>
                </w:tcPr>
                <w:p w14:paraId="7E3703E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103766</w:t>
                  </w:r>
                </w:p>
              </w:tc>
              <w:tc>
                <w:tcPr>
                  <w:tcW w:w="1483" w:type="dxa"/>
                  <w:tcBorders>
                    <w:tl2br w:val="nil"/>
                    <w:tr2bl w:val="nil"/>
                  </w:tcBorders>
                  <w:shd w:val="clear" w:color="auto" w:fill="auto"/>
                  <w:noWrap/>
                  <w:vAlign w:val="center"/>
                </w:tcPr>
                <w:p w14:paraId="23F2F99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103390</w:t>
                  </w:r>
                </w:p>
              </w:tc>
              <w:tc>
                <w:tcPr>
                  <w:tcW w:w="1210" w:type="dxa"/>
                  <w:tcBorders>
                    <w:tl2br w:val="nil"/>
                    <w:tr2bl w:val="nil"/>
                  </w:tcBorders>
                  <w:shd w:val="clear" w:color="auto" w:fill="auto"/>
                  <w:noWrap/>
                  <w:vAlign w:val="center"/>
                </w:tcPr>
                <w:p w14:paraId="2532438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26318</w:t>
                  </w:r>
                </w:p>
              </w:tc>
            </w:tr>
            <w:tr w14:paraId="205F43C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2405" w:type="dxa"/>
                  <w:tcBorders>
                    <w:tl2br w:val="nil"/>
                    <w:tr2bl w:val="nil"/>
                  </w:tcBorders>
                  <w:shd w:val="clear" w:color="auto" w:fill="auto"/>
                  <w:noWrap/>
                  <w:vAlign w:val="center"/>
                </w:tcPr>
                <w:p w14:paraId="3F50B3B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康王乡乌江村杨埠片</w:t>
                  </w:r>
                </w:p>
              </w:tc>
              <w:tc>
                <w:tcPr>
                  <w:tcW w:w="1327" w:type="dxa"/>
                  <w:tcBorders>
                    <w:tl2br w:val="nil"/>
                    <w:tr2bl w:val="nil"/>
                  </w:tcBorders>
                  <w:shd w:val="clear" w:color="auto" w:fill="auto"/>
                  <w:noWrap/>
                  <w:vAlign w:val="center"/>
                </w:tcPr>
                <w:p w14:paraId="4F95F7F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9000</w:t>
                  </w:r>
                </w:p>
              </w:tc>
              <w:tc>
                <w:tcPr>
                  <w:tcW w:w="1512" w:type="dxa"/>
                  <w:tcBorders>
                    <w:tl2br w:val="nil"/>
                    <w:tr2bl w:val="nil"/>
                  </w:tcBorders>
                  <w:shd w:val="clear" w:color="auto" w:fill="auto"/>
                  <w:noWrap/>
                  <w:vAlign w:val="center"/>
                </w:tcPr>
                <w:p w14:paraId="006ED46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7200</w:t>
                  </w:r>
                </w:p>
              </w:tc>
              <w:tc>
                <w:tcPr>
                  <w:tcW w:w="1483" w:type="dxa"/>
                  <w:tcBorders>
                    <w:tl2br w:val="nil"/>
                    <w:tr2bl w:val="nil"/>
                  </w:tcBorders>
                  <w:shd w:val="clear" w:color="auto" w:fill="auto"/>
                  <w:noWrap/>
                  <w:vAlign w:val="center"/>
                </w:tcPr>
                <w:p w14:paraId="3755CF5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7480</w:t>
                  </w:r>
                </w:p>
              </w:tc>
              <w:tc>
                <w:tcPr>
                  <w:tcW w:w="1210" w:type="dxa"/>
                  <w:tcBorders>
                    <w:tl2br w:val="nil"/>
                    <w:tr2bl w:val="nil"/>
                  </w:tcBorders>
                  <w:shd w:val="clear" w:color="auto" w:fill="auto"/>
                  <w:noWrap/>
                  <w:vAlign w:val="center"/>
                </w:tcPr>
                <w:p w14:paraId="5D066B6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1520</w:t>
                  </w:r>
                </w:p>
              </w:tc>
            </w:tr>
            <w:tr w14:paraId="099F3DD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2405" w:type="dxa"/>
                  <w:tcBorders>
                    <w:tl2br w:val="nil"/>
                    <w:tr2bl w:val="nil"/>
                  </w:tcBorders>
                  <w:shd w:val="clear" w:color="auto" w:fill="auto"/>
                  <w:noWrap/>
                  <w:vAlign w:val="center"/>
                </w:tcPr>
                <w:p w14:paraId="73382E0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合计</w:t>
                  </w:r>
                </w:p>
              </w:tc>
              <w:tc>
                <w:tcPr>
                  <w:tcW w:w="1327" w:type="dxa"/>
                  <w:tcBorders>
                    <w:tl2br w:val="nil"/>
                    <w:tr2bl w:val="nil"/>
                  </w:tcBorders>
                  <w:shd w:val="clear" w:color="auto" w:fill="auto"/>
                  <w:noWrap/>
                  <w:vAlign w:val="center"/>
                </w:tcPr>
                <w:p w14:paraId="024B910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149976</w:t>
                  </w:r>
                </w:p>
              </w:tc>
              <w:tc>
                <w:tcPr>
                  <w:tcW w:w="1512" w:type="dxa"/>
                  <w:tcBorders>
                    <w:tl2br w:val="nil"/>
                    <w:tr2bl w:val="nil"/>
                  </w:tcBorders>
                  <w:shd w:val="clear" w:color="auto" w:fill="auto"/>
                  <w:noWrap/>
                  <w:vAlign w:val="center"/>
                </w:tcPr>
                <w:p w14:paraId="446C21C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119966</w:t>
                  </w:r>
                </w:p>
              </w:tc>
              <w:tc>
                <w:tcPr>
                  <w:tcW w:w="1483" w:type="dxa"/>
                  <w:tcBorders>
                    <w:tl2br w:val="nil"/>
                    <w:tr2bl w:val="nil"/>
                  </w:tcBorders>
                  <w:shd w:val="clear" w:color="auto" w:fill="auto"/>
                  <w:noWrap/>
                  <w:vAlign w:val="center"/>
                </w:tcPr>
                <w:p w14:paraId="4EFFA50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118970</w:t>
                  </w:r>
                </w:p>
              </w:tc>
              <w:tc>
                <w:tcPr>
                  <w:tcW w:w="1210" w:type="dxa"/>
                  <w:tcBorders>
                    <w:tl2br w:val="nil"/>
                    <w:tr2bl w:val="nil"/>
                  </w:tcBorders>
                  <w:shd w:val="clear" w:color="auto" w:fill="auto"/>
                  <w:noWrap/>
                  <w:vAlign w:val="center"/>
                </w:tcPr>
                <w:p w14:paraId="45C3B7D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000000"/>
                      <w:kern w:val="0"/>
                      <w:sz w:val="22"/>
                      <w:szCs w:val="22"/>
                      <w:u w:val="none"/>
                      <w:lang w:val="en-US" w:eastAsia="zh-CN" w:bidi="ar"/>
                    </w:rPr>
                    <w:t>31006</w:t>
                  </w:r>
                </w:p>
              </w:tc>
            </w:tr>
          </w:tbl>
          <w:p w14:paraId="051638D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color w:val="auto"/>
                <w:sz w:val="24"/>
                <w:szCs w:val="24"/>
                <w:lang w:val="en-US" w:eastAsia="zh-CN"/>
              </w:rPr>
            </w:pPr>
          </w:p>
        </w:tc>
      </w:tr>
      <w:tr w14:paraId="4CF4FF5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845" w:type="dxa"/>
            <w:vAlign w:val="center"/>
          </w:tcPr>
          <w:p w14:paraId="21B745E6">
            <w:pPr>
              <w:adjustRightInd w:val="0"/>
              <w:snapToGrid w:val="0"/>
              <w:spacing w:before="0" w:beforeAutospacing="0" w:after="0" w:afterAutospacing="0"/>
              <w:jc w:val="center"/>
              <w:rPr>
                <w:rFonts w:hint="default" w:eastAsia="宋体" w:cs="宋体"/>
                <w:color w:val="auto"/>
                <w:sz w:val="21"/>
                <w:szCs w:val="21"/>
                <w:lang w:val="en-US" w:eastAsia="zh-CN"/>
              </w:rPr>
            </w:pPr>
            <w:r>
              <w:rPr>
                <w:rFonts w:hint="eastAsia" w:cs="宋体"/>
                <w:color w:val="auto"/>
                <w:sz w:val="21"/>
                <w:szCs w:val="21"/>
                <w:lang w:val="en-US" w:eastAsia="zh-CN"/>
              </w:rPr>
              <w:t>施工方案</w:t>
            </w:r>
          </w:p>
        </w:tc>
        <w:tc>
          <w:tcPr>
            <w:tcW w:w="8139" w:type="dxa"/>
            <w:vAlign w:val="top"/>
          </w:tcPr>
          <w:p w14:paraId="5533D4C5">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1、施工工艺及施工方案</w:t>
            </w:r>
          </w:p>
          <w:p w14:paraId="019E9CB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本项目为管网施工，施工方法主要有：开挖</w:t>
            </w:r>
            <w:r>
              <w:rPr>
                <w:rFonts w:hint="eastAsia" w:ascii="宋体" w:hAnsi="宋体" w:eastAsia="宋体" w:cs="宋体"/>
                <w:b w:val="0"/>
                <w:bCs w:val="0"/>
                <w:color w:val="auto"/>
                <w:sz w:val="24"/>
                <w:szCs w:val="24"/>
                <w:lang w:val="en-US" w:eastAsia="zh-CN"/>
              </w:rPr>
              <w:t>施工</w:t>
            </w:r>
            <w:r>
              <w:rPr>
                <w:rFonts w:hint="eastAsia" w:ascii="宋体" w:hAnsi="宋体" w:cs="宋体"/>
                <w:b w:val="0"/>
                <w:bCs w:val="0"/>
                <w:color w:val="auto"/>
                <w:sz w:val="24"/>
                <w:szCs w:val="24"/>
                <w:lang w:val="en-US" w:eastAsia="zh-CN"/>
              </w:rPr>
              <w:t>、顶管施工、布置管道、回填等，施工工艺主要是：土石方开挖、土石方填筑、顶管施工、钢筋混凝土浇筑、拆模养护、管道安装等。</w:t>
            </w:r>
          </w:p>
          <w:p w14:paraId="65292B3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主要工艺及产污环节说明如下：</w:t>
            </w:r>
          </w:p>
          <w:p w14:paraId="4D41930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（1）地表破除与管槽开挖（开挖段）</w:t>
            </w:r>
          </w:p>
          <w:p w14:paraId="2F8E68E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作业内容：采用反铲挖掘机（0.6～1.6m³）破除沥青/混凝土路面，按设计断面开挖管沟。人工配合清槽至设计标高。</w:t>
            </w:r>
          </w:p>
          <w:p w14:paraId="1794BB6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产污环节：噪声、扬尘、施工机械废气、废弃路面材料、弃土。</w:t>
            </w:r>
          </w:p>
          <w:p w14:paraId="4413C03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环保措施：洒水降尘、围挡封闭、弃土及时覆盖或外运。</w:t>
            </w:r>
          </w:p>
          <w:p w14:paraId="7429BAE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（2）顶管工作井/接收井施工（顶管段）</w:t>
            </w:r>
          </w:p>
          <w:p w14:paraId="074B045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作业内容：采用逆作法施工，每开挖1.2m（松散段0.5m）即浇筑钢筋混凝土护壁，内设型钢支撑。止水帷幕采用双重管高压旋喷桩（桩径600mm）。顶管施工区域主要是地面有建筑物、农田、道路、河流水沟等，不便采取地面开挖施工的区域。</w:t>
            </w:r>
          </w:p>
          <w:p w14:paraId="7B9B876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产污环节：噪声、泥浆（旋喷桩）、混凝土养护废水、弃土。</w:t>
            </w:r>
          </w:p>
          <w:p w14:paraId="75027F7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环保措施：泥浆固化后外运，养护废水沉淀后回用。</w:t>
            </w:r>
          </w:p>
          <w:p w14:paraId="2529EFAC">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object>
                <v:shape id="_x0000_i1036" o:spt="75" type="#_x0000_t75" style="height:408.75pt;width:237.75pt;" o:ole="t" filled="f" o:preferrelative="t" stroked="f" coordsize="21600,21600">
                  <v:path/>
                  <v:fill on="f" focussize="0,0"/>
                  <v:stroke on="f"/>
                  <v:imagedata r:id="rId37" o:title=""/>
                  <o:lock v:ext="edit" aspectratio="f"/>
                  <w10:wrap type="none"/>
                  <w10:anchorlock/>
                </v:shape>
                <o:OLEObject Type="Embed" ProgID="Visio.Drawing.15" ShapeID="_x0000_i1036" DrawAspect="Content" ObjectID="_1468075736" r:id="rId36">
                  <o:LockedField>false</o:LockedField>
                </o:OLEObject>
              </w:object>
            </w:r>
          </w:p>
          <w:p w14:paraId="2317C46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center"/>
              <w:textAlignment w:val="auto"/>
              <w:rPr>
                <w:rFonts w:hint="default" w:ascii="宋体" w:hAnsi="宋体" w:eastAsia="宋体" w:cs="宋体"/>
                <w:b w:val="0"/>
                <w:bCs w:val="0"/>
                <w:color w:val="auto"/>
                <w:sz w:val="24"/>
                <w:szCs w:val="24"/>
                <w:lang w:val="en-US" w:eastAsia="zh-CN"/>
              </w:rPr>
            </w:pPr>
            <w:r>
              <w:rPr>
                <w:rFonts w:hint="eastAsia" w:ascii="宋体" w:hAnsi="宋体" w:cs="宋体"/>
                <w:b w:val="0"/>
                <w:bCs w:val="0"/>
                <w:color w:val="auto"/>
                <w:sz w:val="24"/>
                <w:szCs w:val="24"/>
                <w:lang w:val="en-US" w:eastAsia="zh-CN"/>
              </w:rPr>
              <w:t>图2-14  主要施工工艺图</w:t>
            </w:r>
          </w:p>
          <w:p w14:paraId="4168601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（3）顶管顶进</w:t>
            </w:r>
          </w:p>
          <w:p w14:paraId="3179476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作业内容：根据地质条件选用泥水平衡式顶管机（软土层）或机械式顶管机（岩层）。DN2600管道逐节顶进，触变泥浆减阻。</w:t>
            </w:r>
          </w:p>
          <w:p w14:paraId="44208EA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产污环节：顶管设备噪声、废弃泥浆、柴油发电机废气。</w:t>
            </w:r>
          </w:p>
          <w:p w14:paraId="48F8819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环保措施：泥浆经沉淀池固化，废渣外运；发电机设尾气净化装置。</w:t>
            </w:r>
          </w:p>
          <w:p w14:paraId="7462C04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（4）管道基础与安装（开挖段）</w:t>
            </w:r>
          </w:p>
          <w:p w14:paraId="68AFECE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作业内容：槽底铺设200mm中粗砂基础（软土段下层加150mm碎石）。汽车吊吊装DN2600钢筋混凝土管或球墨铸铁管/涂塑钢管，人工配合就位，橡胶圈承插接口或电热熔焊接（PE管）。</w:t>
            </w:r>
          </w:p>
          <w:p w14:paraId="0BE94BE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产污环节：噪声、施工机械废气、焊接烟尘。</w:t>
            </w:r>
          </w:p>
          <w:p w14:paraId="0BB895C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环保措施：选用低噪声设备，焊接烟气自然扩散（露天作业）。</w:t>
            </w:r>
          </w:p>
          <w:p w14:paraId="28C36C5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（5）附属构筑物施工</w:t>
            </w:r>
          </w:p>
          <w:p w14:paraId="54BC451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作业内容：现浇钢筋混凝土检查井、分流井、阀门井等。钢筋绑扎、立模、商品混凝土浇筑、振捣、拆模、洒水养护。</w:t>
            </w:r>
          </w:p>
          <w:p w14:paraId="42844AE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产污环节：噪声、养护废水、少量模板废料。</w:t>
            </w:r>
          </w:p>
          <w:p w14:paraId="1488005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环保措施：养护废水经沉淀后用于洒水降尘，废模板回收。</w:t>
            </w:r>
          </w:p>
          <w:p w14:paraId="403E294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（6）管道试验</w:t>
            </w:r>
          </w:p>
          <w:p w14:paraId="6C40682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雨水管道：闭水试验（按GB50268-2008），试验水头需满足规范要求。</w:t>
            </w:r>
          </w:p>
          <w:p w14:paraId="37BCF66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给水管道：水压试验，试压压力为工作压力的1.5倍。</w:t>
            </w:r>
          </w:p>
          <w:p w14:paraId="5775F6F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产污环节：试验废水。</w:t>
            </w:r>
          </w:p>
          <w:p w14:paraId="4297E43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环保措施：废水排入临时沉淀池，达标后排入市政雨水管或用于洒水。</w:t>
            </w:r>
          </w:p>
          <w:p w14:paraId="1FBD6BA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（7）沟槽回填与路面恢复</w:t>
            </w:r>
          </w:p>
          <w:p w14:paraId="0DD2335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作业内容：管侧及管顶以上0.5m采用人工回填中粗砂或原状土（压实系数0.85～0.86），管顶0.5m以上机械回填，分层压实。车行道下按道路结构层恢复（水泥稳定碎石+沥青面层）。</w:t>
            </w:r>
          </w:p>
          <w:p w14:paraId="609E165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产污环节：噪声、扬尘。</w:t>
            </w:r>
          </w:p>
          <w:p w14:paraId="14C822A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环保措施：洒水降尘，恢复路面与原有高程一致。</w:t>
            </w:r>
          </w:p>
          <w:p w14:paraId="4AA41AB4">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2、施工导流</w:t>
            </w:r>
          </w:p>
          <w:p w14:paraId="379F8CE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本项目防洪排涝工程与给水工程相对独立，在落实各项环保措施的前提下，两个工程的不同施工段可同时进行。施工导流措施如下：</w:t>
            </w:r>
          </w:p>
          <w:p w14:paraId="4B4EDAC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地下水位高区域：基坑四周设明沟+集水坑降水，或采用井点降水</w:t>
            </w:r>
            <w:r>
              <w:rPr>
                <w:rFonts w:hint="eastAsia" w:ascii="宋体" w:hAnsi="宋体" w:cs="宋体"/>
                <w:b w:val="0"/>
                <w:bCs w:val="0"/>
                <w:color w:val="auto"/>
                <w:sz w:val="24"/>
                <w:szCs w:val="24"/>
                <w:lang w:val="en-US" w:eastAsia="zh-CN"/>
              </w:rPr>
              <w:t>（排水经临时软管接入周边最近的雨水管）</w:t>
            </w:r>
            <w:r>
              <w:rPr>
                <w:rFonts w:hint="eastAsia" w:ascii="宋体" w:hAnsi="宋体" w:eastAsia="宋体" w:cs="宋体"/>
                <w:b w:val="0"/>
                <w:bCs w:val="0"/>
                <w:color w:val="auto"/>
                <w:sz w:val="24"/>
                <w:szCs w:val="24"/>
                <w:lang w:val="en-US" w:eastAsia="zh-CN"/>
              </w:rPr>
              <w:t>。顶管工作井周边设止水帷幕（旋喷桩），防止地下水涌入。</w:t>
            </w:r>
          </w:p>
          <w:p w14:paraId="63B5DC5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排水管道与下游箱涵衔接处：利用原有闸门或临时封堵，抽排积水后施工。</w:t>
            </w:r>
          </w:p>
          <w:p w14:paraId="70BDDB9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给水管道一般埋深较浅（1.5m），位于地下水位以上，不需专门导流，但雨季施工需临时排水。</w:t>
            </w:r>
          </w:p>
          <w:p w14:paraId="2D35EB99">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3、施工时序和时段</w:t>
            </w:r>
          </w:p>
          <w:p w14:paraId="0D00033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（1）施工周期</w:t>
            </w:r>
          </w:p>
          <w:p w14:paraId="44EA322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根据本工程施工项目难易程度及工程量，两个</w:t>
            </w:r>
            <w:r>
              <w:rPr>
                <w:rFonts w:hint="eastAsia" w:ascii="宋体" w:hAnsi="宋体" w:cs="宋体"/>
                <w:b w:val="0"/>
                <w:bCs w:val="0"/>
                <w:color w:val="auto"/>
                <w:sz w:val="24"/>
                <w:szCs w:val="24"/>
                <w:lang w:val="en-US" w:eastAsia="zh-CN"/>
              </w:rPr>
              <w:t>片</w:t>
            </w:r>
            <w:r>
              <w:rPr>
                <w:rFonts w:hint="eastAsia" w:ascii="宋体" w:hAnsi="宋体" w:eastAsia="宋体" w:cs="宋体"/>
                <w:b w:val="0"/>
                <w:bCs w:val="0"/>
                <w:color w:val="auto"/>
                <w:sz w:val="24"/>
                <w:szCs w:val="24"/>
                <w:lang w:val="en-US" w:eastAsia="zh-CN"/>
              </w:rPr>
              <w:t>区同时施工，拟定的施工总工期为</w:t>
            </w:r>
            <w:r>
              <w:rPr>
                <w:rFonts w:hint="eastAsia" w:ascii="宋体" w:hAnsi="宋体" w:cs="宋体"/>
                <w:b w:val="0"/>
                <w:bCs w:val="0"/>
                <w:color w:val="auto"/>
                <w:sz w:val="24"/>
                <w:szCs w:val="24"/>
                <w:lang w:val="en-US" w:eastAsia="zh-CN"/>
              </w:rPr>
              <w:t>12</w:t>
            </w:r>
            <w:r>
              <w:rPr>
                <w:rFonts w:hint="eastAsia" w:ascii="宋体" w:hAnsi="宋体" w:eastAsia="宋体" w:cs="宋体"/>
                <w:b w:val="0"/>
                <w:bCs w:val="0"/>
                <w:color w:val="auto"/>
                <w:sz w:val="24"/>
                <w:szCs w:val="24"/>
                <w:lang w:val="en-US" w:eastAsia="zh-CN"/>
              </w:rPr>
              <w:t>个月，即当年</w:t>
            </w:r>
            <w:r>
              <w:rPr>
                <w:rFonts w:hint="eastAsia" w:ascii="宋体" w:hAnsi="宋体" w:cs="宋体"/>
                <w:b w:val="0"/>
                <w:bCs w:val="0"/>
                <w:color w:val="auto"/>
                <w:sz w:val="24"/>
                <w:szCs w:val="24"/>
                <w:lang w:val="en-US" w:eastAsia="zh-CN"/>
              </w:rPr>
              <w:t>9</w:t>
            </w:r>
            <w:r>
              <w:rPr>
                <w:rFonts w:hint="eastAsia" w:ascii="宋体" w:hAnsi="宋体" w:eastAsia="宋体" w:cs="宋体"/>
                <w:b w:val="0"/>
                <w:bCs w:val="0"/>
                <w:color w:val="auto"/>
                <w:sz w:val="24"/>
                <w:szCs w:val="24"/>
                <w:lang w:val="en-US" w:eastAsia="zh-CN"/>
              </w:rPr>
              <w:t>月</w:t>
            </w:r>
            <w:r>
              <w:rPr>
                <w:rFonts w:hint="default" w:ascii="Times New Roman" w:hAnsi="Times New Roman" w:eastAsia="宋体" w:cs="Times New Roman"/>
                <w:b w:val="0"/>
                <w:bCs w:val="0"/>
                <w:color w:val="auto"/>
                <w:sz w:val="24"/>
                <w:szCs w:val="24"/>
                <w:lang w:val="en-US" w:eastAsia="zh-CN"/>
              </w:rPr>
              <w:t>~</w:t>
            </w:r>
            <w:r>
              <w:rPr>
                <w:rFonts w:hint="eastAsia" w:cs="Times New Roman"/>
                <w:b w:val="0"/>
                <w:bCs w:val="0"/>
                <w:color w:val="auto"/>
                <w:sz w:val="24"/>
                <w:szCs w:val="24"/>
                <w:lang w:val="en-US" w:eastAsia="zh-CN"/>
              </w:rPr>
              <w:t>次年8</w:t>
            </w:r>
            <w:r>
              <w:rPr>
                <w:rFonts w:hint="eastAsia" w:ascii="宋体" w:hAnsi="宋体" w:eastAsia="宋体" w:cs="宋体"/>
                <w:b w:val="0"/>
                <w:bCs w:val="0"/>
                <w:color w:val="auto"/>
                <w:sz w:val="24"/>
                <w:szCs w:val="24"/>
                <w:lang w:val="en-US" w:eastAsia="zh-CN"/>
              </w:rPr>
              <w:t xml:space="preserve">月。 </w:t>
            </w:r>
          </w:p>
          <w:p w14:paraId="177FD15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施工准备期：1个月，即当年</w:t>
            </w:r>
            <w:r>
              <w:rPr>
                <w:rFonts w:hint="eastAsia" w:ascii="宋体" w:hAnsi="宋体" w:cs="宋体"/>
                <w:b w:val="0"/>
                <w:bCs w:val="0"/>
                <w:color w:val="auto"/>
                <w:sz w:val="24"/>
                <w:szCs w:val="24"/>
                <w:lang w:val="en-US" w:eastAsia="zh-CN"/>
              </w:rPr>
              <w:t>9</w:t>
            </w:r>
            <w:r>
              <w:rPr>
                <w:rFonts w:hint="eastAsia" w:ascii="宋体" w:hAnsi="宋体" w:eastAsia="宋体" w:cs="宋体"/>
                <w:b w:val="0"/>
                <w:bCs w:val="0"/>
                <w:color w:val="auto"/>
                <w:sz w:val="24"/>
                <w:szCs w:val="24"/>
                <w:lang w:val="en-US" w:eastAsia="zh-CN"/>
              </w:rPr>
              <w:t>月。准备期主要完成临时道路修建、施工用水电设施、临建房屋及施工场地设施建设等。</w:t>
            </w:r>
          </w:p>
          <w:p w14:paraId="46592CB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主体工程施工期</w:t>
            </w:r>
            <w:r>
              <w:rPr>
                <w:rFonts w:hint="eastAsia" w:ascii="宋体" w:hAnsi="宋体" w:cs="宋体"/>
                <w:b w:val="0"/>
                <w:bCs w:val="0"/>
                <w:color w:val="auto"/>
                <w:sz w:val="24"/>
                <w:szCs w:val="24"/>
                <w:lang w:val="en-US" w:eastAsia="zh-CN"/>
              </w:rPr>
              <w:t>10</w:t>
            </w:r>
            <w:r>
              <w:rPr>
                <w:rFonts w:hint="eastAsia" w:ascii="宋体" w:hAnsi="宋体" w:eastAsia="宋体" w:cs="宋体"/>
                <w:b w:val="0"/>
                <w:bCs w:val="0"/>
                <w:color w:val="auto"/>
                <w:sz w:val="24"/>
                <w:szCs w:val="24"/>
                <w:lang w:val="en-US" w:eastAsia="zh-CN"/>
              </w:rPr>
              <w:t>个月，即</w:t>
            </w:r>
            <w:r>
              <w:rPr>
                <w:rFonts w:hint="eastAsia" w:ascii="宋体" w:hAnsi="宋体" w:cs="宋体"/>
                <w:b w:val="0"/>
                <w:bCs w:val="0"/>
                <w:color w:val="auto"/>
                <w:sz w:val="24"/>
                <w:szCs w:val="24"/>
                <w:lang w:val="en-US" w:eastAsia="zh-CN"/>
              </w:rPr>
              <w:t>10</w:t>
            </w:r>
            <w:r>
              <w:rPr>
                <w:rFonts w:hint="eastAsia" w:ascii="宋体" w:hAnsi="宋体" w:eastAsia="宋体" w:cs="宋体"/>
                <w:b w:val="0"/>
                <w:bCs w:val="0"/>
                <w:color w:val="auto"/>
                <w:sz w:val="24"/>
                <w:szCs w:val="24"/>
                <w:lang w:val="en-US" w:eastAsia="zh-CN"/>
              </w:rPr>
              <w:t>月</w:t>
            </w:r>
            <w:r>
              <w:rPr>
                <w:rFonts w:hint="default" w:ascii="Times New Roman" w:hAnsi="Times New Roman" w:eastAsia="宋体" w:cs="Times New Roman"/>
                <w:b w:val="0"/>
                <w:bCs w:val="0"/>
                <w:color w:val="auto"/>
                <w:sz w:val="24"/>
                <w:szCs w:val="24"/>
                <w:lang w:val="en-US" w:eastAsia="zh-CN"/>
              </w:rPr>
              <w:t>~</w:t>
            </w:r>
            <w:r>
              <w:rPr>
                <w:rFonts w:hint="eastAsia" w:ascii="宋体" w:hAnsi="宋体" w:cs="宋体"/>
                <w:b w:val="0"/>
                <w:bCs w:val="0"/>
                <w:color w:val="auto"/>
                <w:sz w:val="24"/>
                <w:szCs w:val="24"/>
                <w:lang w:val="en-US" w:eastAsia="zh-CN"/>
              </w:rPr>
              <w:t>次年7</w:t>
            </w:r>
            <w:r>
              <w:rPr>
                <w:rFonts w:hint="eastAsia" w:ascii="宋体" w:hAnsi="宋体" w:eastAsia="宋体" w:cs="宋体"/>
                <w:b w:val="0"/>
                <w:bCs w:val="0"/>
                <w:color w:val="auto"/>
                <w:sz w:val="24"/>
                <w:szCs w:val="24"/>
                <w:lang w:val="en-US" w:eastAsia="zh-CN"/>
              </w:rPr>
              <w:t>月，主要完成</w:t>
            </w:r>
            <w:r>
              <w:rPr>
                <w:rFonts w:hint="eastAsia" w:ascii="宋体" w:hAnsi="宋体" w:cs="宋体"/>
                <w:b w:val="0"/>
                <w:bCs w:val="0"/>
                <w:color w:val="auto"/>
                <w:sz w:val="24"/>
                <w:szCs w:val="24"/>
                <w:lang w:val="en-US" w:eastAsia="zh-CN"/>
              </w:rPr>
              <w:t>管</w:t>
            </w:r>
            <w:r>
              <w:rPr>
                <w:rFonts w:hint="eastAsia" w:ascii="宋体" w:hAnsi="宋体" w:eastAsia="宋体" w:cs="宋体"/>
                <w:b w:val="0"/>
                <w:bCs w:val="0"/>
                <w:color w:val="auto"/>
                <w:sz w:val="24"/>
                <w:szCs w:val="24"/>
                <w:lang w:val="en-US" w:eastAsia="zh-CN"/>
              </w:rPr>
              <w:t>道工程、建筑物等。</w:t>
            </w:r>
          </w:p>
          <w:p w14:paraId="4D9DD19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lang w:val="en-US" w:eastAsia="zh-CN"/>
              </w:rPr>
            </w:pPr>
            <w:r>
              <w:rPr>
                <w:rFonts w:hint="eastAsia" w:ascii="宋体" w:hAnsi="宋体" w:eastAsia="宋体" w:cs="宋体"/>
                <w:b w:val="0"/>
                <w:bCs w:val="0"/>
                <w:color w:val="auto"/>
                <w:sz w:val="24"/>
                <w:szCs w:val="24"/>
                <w:lang w:val="en-US" w:eastAsia="zh-CN"/>
              </w:rPr>
              <w:t>工程完建期1个月，即</w:t>
            </w:r>
            <w:r>
              <w:rPr>
                <w:rFonts w:hint="eastAsia" w:ascii="宋体" w:hAnsi="宋体" w:cs="宋体"/>
                <w:b w:val="0"/>
                <w:bCs w:val="0"/>
                <w:color w:val="auto"/>
                <w:sz w:val="24"/>
                <w:szCs w:val="24"/>
                <w:lang w:val="en-US" w:eastAsia="zh-CN"/>
              </w:rPr>
              <w:t>次8</w:t>
            </w:r>
            <w:r>
              <w:rPr>
                <w:rFonts w:hint="eastAsia" w:ascii="宋体" w:hAnsi="宋体" w:eastAsia="宋体" w:cs="宋体"/>
                <w:b w:val="0"/>
                <w:bCs w:val="0"/>
                <w:color w:val="auto"/>
                <w:sz w:val="24"/>
                <w:szCs w:val="24"/>
                <w:lang w:val="en-US" w:eastAsia="zh-CN"/>
              </w:rPr>
              <w:t>月。主要工作任务为对工程进行收尾、并完工验收及完工资料整编，人员及设备退场，完成料场及施工场地整治。</w:t>
            </w:r>
          </w:p>
          <w:p w14:paraId="5C496CE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（2）施工人数</w:t>
            </w:r>
          </w:p>
          <w:p w14:paraId="424AE94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总施工人数为120人，人数就近招聘，不提供食住。</w:t>
            </w:r>
          </w:p>
        </w:tc>
      </w:tr>
      <w:tr w14:paraId="1C02A0B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845" w:type="dxa"/>
            <w:vAlign w:val="center"/>
          </w:tcPr>
          <w:p w14:paraId="79AAD843">
            <w:pPr>
              <w:adjustRightInd w:val="0"/>
              <w:snapToGrid w:val="0"/>
              <w:spacing w:before="0" w:beforeAutospacing="0" w:after="0" w:afterAutospacing="0"/>
              <w:jc w:val="center"/>
              <w:rPr>
                <w:rFonts w:hint="eastAsia" w:cs="宋体"/>
                <w:color w:val="auto"/>
                <w:sz w:val="21"/>
                <w:szCs w:val="21"/>
                <w:lang w:val="en-US" w:eastAsia="zh-CN"/>
              </w:rPr>
            </w:pPr>
            <w:r>
              <w:rPr>
                <w:rFonts w:hint="eastAsia" w:cs="宋体"/>
                <w:color w:val="auto"/>
                <w:sz w:val="21"/>
                <w:szCs w:val="21"/>
                <w:lang w:val="en-US" w:eastAsia="zh-CN"/>
              </w:rPr>
              <w:t>其他</w:t>
            </w:r>
          </w:p>
        </w:tc>
        <w:tc>
          <w:tcPr>
            <w:tcW w:w="8139" w:type="dxa"/>
            <w:vAlign w:val="top"/>
          </w:tcPr>
          <w:p w14:paraId="1DF7E71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项目位于岳阳楼区，人为活动较集中，现场未见其它环境污染及生态破坏问题。</w:t>
            </w:r>
          </w:p>
          <w:p w14:paraId="6415C7C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p>
          <w:p w14:paraId="750EE8B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p>
          <w:p w14:paraId="5B96EF2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p>
          <w:p w14:paraId="69439EA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p>
          <w:p w14:paraId="5751C05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p>
          <w:p w14:paraId="2CC6018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p>
          <w:p w14:paraId="72C4361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p>
          <w:p w14:paraId="1A58774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p>
          <w:p w14:paraId="53174CD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p>
          <w:p w14:paraId="56AF23B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p>
          <w:p w14:paraId="62AA6A6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p>
          <w:p w14:paraId="075DE4D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p>
          <w:p w14:paraId="14C9643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p>
          <w:p w14:paraId="40F0570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p>
          <w:p w14:paraId="30B25A4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p>
          <w:p w14:paraId="1DEF71F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p>
          <w:p w14:paraId="1C99892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p>
          <w:p w14:paraId="0658835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p>
        </w:tc>
      </w:tr>
    </w:tbl>
    <w:p w14:paraId="31E066D6">
      <w:pPr>
        <w:keepNext w:val="0"/>
        <w:keepLines w:val="0"/>
        <w:pageBreakBefore w:val="0"/>
        <w:widowControl/>
        <w:kinsoku/>
        <w:wordWrap/>
        <w:overflowPunct/>
        <w:topLinePunct w:val="0"/>
        <w:autoSpaceDE/>
        <w:autoSpaceDN/>
        <w:bidi w:val="0"/>
        <w:adjustRightInd/>
        <w:snapToGrid/>
        <w:spacing w:before="0" w:beforeAutospacing="0" w:after="0" w:afterAutospacing="0"/>
        <w:jc w:val="center"/>
        <w:textAlignment w:val="auto"/>
        <w:rPr>
          <w:rFonts w:ascii="黑体" w:hAnsi="黑体" w:eastAsia="黑体"/>
          <w:snapToGrid w:val="0"/>
          <w:color w:val="FF0000"/>
          <w:sz w:val="36"/>
          <w:szCs w:val="36"/>
        </w:rPr>
        <w:sectPr>
          <w:pgSz w:w="11906" w:h="16838"/>
          <w:pgMar w:top="1417" w:right="1531" w:bottom="1417" w:left="1531" w:header="1191" w:footer="1134" w:gutter="0"/>
          <w:pgBorders>
            <w:top w:val="none" w:sz="0" w:space="0"/>
            <w:left w:val="none" w:sz="0" w:space="0"/>
            <w:bottom w:val="none" w:sz="0" w:space="0"/>
            <w:right w:val="none" w:sz="0" w:space="0"/>
          </w:pgBorders>
          <w:cols w:space="720" w:num="1"/>
          <w:docGrid w:linePitch="312" w:charSpace="0"/>
        </w:sectPr>
      </w:pPr>
    </w:p>
    <w:p w14:paraId="2D01293D">
      <w:pPr>
        <w:keepNext w:val="0"/>
        <w:keepLines w:val="0"/>
        <w:pageBreakBefore w:val="0"/>
        <w:widowControl/>
        <w:kinsoku/>
        <w:wordWrap/>
        <w:overflowPunct/>
        <w:topLinePunct w:val="0"/>
        <w:autoSpaceDE/>
        <w:autoSpaceDN/>
        <w:bidi w:val="0"/>
        <w:adjustRightInd/>
        <w:snapToGrid/>
        <w:spacing w:before="0" w:beforeAutospacing="0" w:after="0" w:afterAutospacing="0"/>
        <w:jc w:val="center"/>
        <w:textAlignment w:val="auto"/>
        <w:outlineLvl w:val="0"/>
        <w:rPr>
          <w:rFonts w:ascii="黑体" w:hAnsi="黑体" w:eastAsia="黑体"/>
          <w:snapToGrid w:val="0"/>
          <w:color w:val="auto"/>
          <w:sz w:val="30"/>
          <w:szCs w:val="30"/>
        </w:rPr>
      </w:pPr>
      <w:bookmarkStart w:id="5" w:name="_Toc14307"/>
      <w:bookmarkStart w:id="6" w:name="_Toc22813"/>
      <w:r>
        <w:rPr>
          <w:rFonts w:hint="eastAsia" w:ascii="黑体" w:hAnsi="黑体" w:eastAsia="黑体"/>
          <w:snapToGrid w:val="0"/>
          <w:color w:val="auto"/>
          <w:sz w:val="30"/>
          <w:szCs w:val="30"/>
        </w:rPr>
        <w:t>三、</w:t>
      </w:r>
      <w:r>
        <w:rPr>
          <w:rFonts w:hint="eastAsia" w:ascii="黑体" w:hAnsi="黑体" w:eastAsia="黑体"/>
          <w:snapToGrid w:val="0"/>
          <w:color w:val="auto"/>
          <w:sz w:val="30"/>
          <w:szCs w:val="30"/>
          <w:lang w:eastAsia="zh-CN"/>
        </w:rPr>
        <w:t>生态</w:t>
      </w:r>
      <w:r>
        <w:rPr>
          <w:rFonts w:hint="eastAsia" w:ascii="黑体" w:hAnsi="黑体" w:eastAsia="黑体"/>
          <w:snapToGrid w:val="0"/>
          <w:color w:val="auto"/>
          <w:sz w:val="30"/>
          <w:szCs w:val="30"/>
        </w:rPr>
        <w:t>环境现状、保护目标及评价标准</w:t>
      </w:r>
      <w:bookmarkEnd w:id="5"/>
      <w:bookmarkEnd w:id="6"/>
    </w:p>
    <w:tbl>
      <w:tblPr>
        <w:tblStyle w:val="9"/>
        <w:tblW w:w="8990"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515"/>
        <w:gridCol w:w="8475"/>
      </w:tblGrid>
      <w:tr w14:paraId="7F468E7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15" w:type="dxa"/>
            <w:vAlign w:val="center"/>
          </w:tcPr>
          <w:p w14:paraId="65B5AE14">
            <w:pPr>
              <w:adjustRightInd w:val="0"/>
              <w:snapToGrid w:val="0"/>
              <w:jc w:val="center"/>
              <w:rPr>
                <w:rFonts w:hint="eastAsia" w:ascii="宋体" w:hAnsi="宋体" w:eastAsia="宋体" w:cs="宋体"/>
                <w:color w:val="auto"/>
                <w:kern w:val="0"/>
                <w:sz w:val="24"/>
                <w:szCs w:val="24"/>
                <w:lang w:eastAsia="zh-CN"/>
              </w:rPr>
            </w:pPr>
            <w:r>
              <w:rPr>
                <w:rFonts w:hint="eastAsia" w:ascii="宋体" w:hAnsi="宋体" w:cs="宋体"/>
                <w:color w:val="auto"/>
                <w:kern w:val="0"/>
                <w:sz w:val="24"/>
                <w:szCs w:val="24"/>
                <w:lang w:eastAsia="zh-CN"/>
              </w:rPr>
              <w:t>生态</w:t>
            </w:r>
          </w:p>
          <w:p w14:paraId="3C60D38B">
            <w:pPr>
              <w:adjustRightInd w:val="0"/>
              <w:snapToGrid w:val="0"/>
              <w:jc w:val="center"/>
              <w:rPr>
                <w:rFonts w:hint="eastAsia" w:ascii="宋体" w:hAnsi="宋体" w:cs="宋体"/>
                <w:color w:val="auto"/>
                <w:kern w:val="0"/>
                <w:sz w:val="24"/>
                <w:szCs w:val="24"/>
              </w:rPr>
            </w:pPr>
            <w:r>
              <w:rPr>
                <w:rFonts w:hint="eastAsia" w:ascii="宋体" w:hAnsi="宋体" w:cs="宋体"/>
                <w:color w:val="auto"/>
                <w:kern w:val="0"/>
                <w:sz w:val="24"/>
                <w:szCs w:val="24"/>
              </w:rPr>
              <w:t>环境</w:t>
            </w:r>
          </w:p>
          <w:p w14:paraId="61A9C1AF">
            <w:pPr>
              <w:adjustRightInd w:val="0"/>
              <w:snapToGrid w:val="0"/>
              <w:jc w:val="center"/>
              <w:rPr>
                <w:rFonts w:ascii="宋体" w:hAnsi="宋体" w:cs="宋体"/>
                <w:color w:val="auto"/>
                <w:kern w:val="0"/>
                <w:sz w:val="24"/>
                <w:szCs w:val="24"/>
              </w:rPr>
            </w:pPr>
            <w:r>
              <w:rPr>
                <w:rFonts w:hint="eastAsia" w:ascii="宋体" w:hAnsi="宋体" w:cs="宋体"/>
                <w:color w:val="auto"/>
                <w:kern w:val="0"/>
                <w:sz w:val="24"/>
                <w:szCs w:val="24"/>
              </w:rPr>
              <w:t>现状</w:t>
            </w:r>
          </w:p>
        </w:tc>
        <w:tc>
          <w:tcPr>
            <w:tcW w:w="8475" w:type="dxa"/>
            <w:vAlign w:val="center"/>
          </w:tcPr>
          <w:p w14:paraId="7B261D32">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eastAsia="宋体"/>
                <w:b/>
                <w:bCs/>
                <w:color w:val="auto"/>
                <w:sz w:val="24"/>
                <w:szCs w:val="24"/>
                <w:lang w:val="en-US" w:eastAsia="zh-CN"/>
              </w:rPr>
            </w:pPr>
            <w:r>
              <w:rPr>
                <w:rFonts w:hint="eastAsia"/>
                <w:b/>
                <w:bCs/>
                <w:color w:val="auto"/>
                <w:sz w:val="24"/>
                <w:szCs w:val="24"/>
                <w:lang w:val="en-US" w:eastAsia="zh-CN"/>
              </w:rPr>
              <w:t>1、生态功能定位</w:t>
            </w:r>
          </w:p>
          <w:p w14:paraId="664EFDB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eastAsia="宋体"/>
                <w:b w:val="0"/>
                <w:bCs w:val="0"/>
                <w:color w:val="auto"/>
                <w:sz w:val="24"/>
                <w:szCs w:val="24"/>
                <w:lang w:eastAsia="zh-CN"/>
              </w:rPr>
            </w:pPr>
            <w:r>
              <w:rPr>
                <w:rFonts w:hint="eastAsia"/>
                <w:b w:val="0"/>
                <w:bCs w:val="0"/>
                <w:color w:val="auto"/>
                <w:sz w:val="24"/>
                <w:szCs w:val="24"/>
                <w:lang w:eastAsia="zh-CN"/>
              </w:rPr>
              <w:t>（</w:t>
            </w:r>
            <w:r>
              <w:rPr>
                <w:rFonts w:hint="eastAsia"/>
                <w:b w:val="0"/>
                <w:bCs w:val="0"/>
                <w:color w:val="auto"/>
                <w:sz w:val="24"/>
                <w:szCs w:val="24"/>
                <w:lang w:val="en-US" w:eastAsia="zh-CN"/>
              </w:rPr>
              <w:t>1</w:t>
            </w:r>
            <w:r>
              <w:rPr>
                <w:rFonts w:hint="eastAsia"/>
                <w:b w:val="0"/>
                <w:bCs w:val="0"/>
                <w:color w:val="auto"/>
                <w:sz w:val="24"/>
                <w:szCs w:val="24"/>
                <w:lang w:eastAsia="zh-CN"/>
              </w:rPr>
              <w:t>）评价区在湖南省主体功能区中的定位</w:t>
            </w:r>
          </w:p>
          <w:p w14:paraId="7A1046F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eastAsia="宋体"/>
                <w:b w:val="0"/>
                <w:bCs w:val="0"/>
                <w:color w:val="auto"/>
                <w:sz w:val="24"/>
                <w:szCs w:val="24"/>
                <w:lang w:val="en-US" w:eastAsia="zh-CN"/>
              </w:rPr>
            </w:pPr>
            <w:r>
              <w:rPr>
                <w:rFonts w:hint="eastAsia"/>
                <w:b w:val="0"/>
                <w:bCs w:val="0"/>
                <w:color w:val="auto"/>
                <w:sz w:val="24"/>
                <w:szCs w:val="24"/>
                <w:lang w:eastAsia="zh-CN"/>
              </w:rPr>
              <w:t>根据《湖南省主体功能区规划》（湘政发</w:t>
            </w:r>
            <w:r>
              <w:rPr>
                <w:rFonts w:hint="eastAsia"/>
                <w:b w:val="0"/>
                <w:bCs w:val="0"/>
                <w:color w:val="auto"/>
                <w:sz w:val="24"/>
                <w:szCs w:val="24"/>
                <w:lang w:val="en-US" w:eastAsia="zh-CN"/>
              </w:rPr>
              <w:t>[2012]39号</w:t>
            </w:r>
            <w:r>
              <w:rPr>
                <w:rFonts w:hint="eastAsia"/>
                <w:b w:val="0"/>
                <w:bCs w:val="0"/>
                <w:color w:val="auto"/>
                <w:sz w:val="24"/>
                <w:szCs w:val="24"/>
                <w:lang w:eastAsia="zh-CN"/>
              </w:rPr>
              <w:t>），湖南省国土空间分为以下主体功能区：按开发内容，分为城市化地区、农产品主产区和重点生态功能区；按开发方式和强度，分为重点开发区域、限制开发区域和禁止开发区域；按层级，分为国家和省级两个层面。</w:t>
            </w:r>
          </w:p>
          <w:p w14:paraId="68ED0B8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auto"/>
                <w:sz w:val="24"/>
                <w:szCs w:val="24"/>
              </w:rPr>
            </w:pPr>
            <w:r>
              <w:rPr>
                <w:rFonts w:hint="eastAsia"/>
                <w:b w:val="0"/>
                <w:bCs w:val="0"/>
                <w:color w:val="auto"/>
                <w:sz w:val="24"/>
                <w:szCs w:val="24"/>
              </w:rPr>
              <w:t>从</w:t>
            </w:r>
            <w:r>
              <w:rPr>
                <w:rFonts w:hint="eastAsia"/>
                <w:b w:val="0"/>
                <w:bCs w:val="0"/>
                <w:color w:val="auto"/>
                <w:sz w:val="24"/>
                <w:szCs w:val="24"/>
                <w:lang w:eastAsia="zh-CN"/>
              </w:rPr>
              <w:t>湖南</w:t>
            </w:r>
            <w:r>
              <w:rPr>
                <w:rFonts w:hint="eastAsia"/>
                <w:b w:val="0"/>
                <w:bCs w:val="0"/>
                <w:color w:val="auto"/>
                <w:sz w:val="24"/>
                <w:szCs w:val="24"/>
              </w:rPr>
              <w:t>省主体功能区划分总图可以看出，项目所在区域属于</w:t>
            </w:r>
            <w:r>
              <w:rPr>
                <w:rFonts w:hint="eastAsia"/>
                <w:b w:val="0"/>
                <w:bCs w:val="0"/>
                <w:color w:val="auto"/>
                <w:sz w:val="24"/>
                <w:szCs w:val="24"/>
                <w:lang w:eastAsia="zh-CN"/>
              </w:rPr>
              <w:t>城市化地区</w:t>
            </w:r>
            <w:r>
              <w:rPr>
                <w:rFonts w:hint="eastAsia"/>
                <w:b w:val="0"/>
                <w:bCs w:val="0"/>
                <w:color w:val="auto"/>
                <w:sz w:val="24"/>
                <w:szCs w:val="24"/>
              </w:rPr>
              <w:t>。</w:t>
            </w:r>
          </w:p>
          <w:p w14:paraId="2827480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FF0000"/>
                <w:sz w:val="24"/>
                <w:szCs w:val="24"/>
              </w:rPr>
            </w:pPr>
            <w:r>
              <w:rPr>
                <w:rFonts w:hint="eastAsia"/>
                <w:b w:val="0"/>
                <w:bCs w:val="0"/>
                <w:color w:val="FF0000"/>
                <w:sz w:val="24"/>
                <w:szCs w:val="24"/>
              </w:rPr>
              <w:object>
                <v:shape id="_x0000_i1037" o:spt="75" type="#_x0000_t75" style="height:447.9pt;width:363.9pt;" o:ole="t" filled="f" o:preferrelative="t" stroked="f" coordsize="21600,21600">
                  <v:path/>
                  <v:fill on="f" focussize="0,0"/>
                  <v:stroke on="f"/>
                  <v:imagedata r:id="rId39" o:title=""/>
                  <o:lock v:ext="edit" aspectratio="f"/>
                  <w10:wrap type="none"/>
                  <w10:anchorlock/>
                </v:shape>
                <o:OLEObject Type="Embed" ProgID="Visio.Drawing.15" ShapeID="_x0000_i1037" DrawAspect="Content" ObjectID="_1468075737" r:id="rId38">
                  <o:LockedField>false</o:LockedField>
                </o:OLEObject>
              </w:object>
            </w:r>
          </w:p>
          <w:p w14:paraId="7A6C18A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center"/>
              <w:textAlignment w:val="auto"/>
              <w:rPr>
                <w:rFonts w:hint="default" w:eastAsia="宋体"/>
                <w:b w:val="0"/>
                <w:bCs w:val="0"/>
                <w:color w:val="auto"/>
                <w:sz w:val="24"/>
                <w:szCs w:val="24"/>
                <w:lang w:val="en-US" w:eastAsia="zh-CN"/>
              </w:rPr>
            </w:pPr>
            <w:r>
              <w:rPr>
                <w:rFonts w:hint="eastAsia"/>
                <w:b w:val="0"/>
                <w:bCs w:val="0"/>
                <w:color w:val="auto"/>
                <w:sz w:val="24"/>
                <w:szCs w:val="24"/>
                <w:lang w:eastAsia="zh-CN"/>
              </w:rPr>
              <w:t>图</w:t>
            </w:r>
            <w:r>
              <w:rPr>
                <w:rFonts w:hint="eastAsia"/>
                <w:b w:val="0"/>
                <w:bCs w:val="0"/>
                <w:color w:val="auto"/>
                <w:sz w:val="24"/>
                <w:szCs w:val="24"/>
                <w:lang w:val="en-US" w:eastAsia="zh-CN"/>
              </w:rPr>
              <w:t>3-1  本项目在湖南省主体功能区中的位置</w:t>
            </w:r>
          </w:p>
          <w:p w14:paraId="245F71B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auto"/>
                <w:sz w:val="24"/>
                <w:szCs w:val="24"/>
              </w:rPr>
            </w:pPr>
            <w:r>
              <w:rPr>
                <w:rFonts w:hint="eastAsia"/>
                <w:b w:val="0"/>
                <w:bCs w:val="0"/>
                <w:color w:val="auto"/>
                <w:sz w:val="24"/>
                <w:szCs w:val="24"/>
                <w:lang w:eastAsia="zh-CN"/>
              </w:rPr>
              <w:t>（</w:t>
            </w:r>
            <w:r>
              <w:rPr>
                <w:rFonts w:hint="eastAsia"/>
                <w:b w:val="0"/>
                <w:bCs w:val="0"/>
                <w:color w:val="auto"/>
                <w:sz w:val="24"/>
                <w:szCs w:val="24"/>
                <w:lang w:val="en-US" w:eastAsia="zh-CN"/>
              </w:rPr>
              <w:t>2</w:t>
            </w:r>
            <w:r>
              <w:rPr>
                <w:rFonts w:hint="eastAsia"/>
                <w:b w:val="0"/>
                <w:bCs w:val="0"/>
                <w:color w:val="auto"/>
                <w:sz w:val="24"/>
                <w:szCs w:val="24"/>
                <w:lang w:eastAsia="zh-CN"/>
              </w:rPr>
              <w:t>）评价区在湖南省生态功能区中的定位</w:t>
            </w:r>
          </w:p>
          <w:p w14:paraId="0A5FDC9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auto"/>
                <w:sz w:val="24"/>
                <w:szCs w:val="24"/>
              </w:rPr>
            </w:pPr>
            <w:r>
              <w:rPr>
                <w:rFonts w:hint="eastAsia"/>
                <w:b w:val="0"/>
                <w:bCs w:val="0"/>
                <w:color w:val="auto"/>
                <w:sz w:val="24"/>
                <w:szCs w:val="24"/>
              </w:rPr>
              <w:t>按照《</w:t>
            </w:r>
            <w:r>
              <w:rPr>
                <w:rFonts w:hint="eastAsia"/>
                <w:b w:val="0"/>
                <w:bCs w:val="0"/>
                <w:color w:val="auto"/>
                <w:sz w:val="24"/>
                <w:szCs w:val="24"/>
                <w:lang w:eastAsia="zh-CN"/>
              </w:rPr>
              <w:t>湖南</w:t>
            </w:r>
            <w:r>
              <w:rPr>
                <w:rFonts w:hint="eastAsia"/>
                <w:b w:val="0"/>
                <w:bCs w:val="0"/>
                <w:color w:val="auto"/>
                <w:sz w:val="24"/>
                <w:szCs w:val="24"/>
              </w:rPr>
              <w:t>省生态功能区划》（2010），项目所在区域属于</w:t>
            </w:r>
            <w:r>
              <w:rPr>
                <w:rFonts w:hint="eastAsia"/>
                <w:b w:val="0"/>
                <w:bCs w:val="0"/>
                <w:color w:val="auto"/>
                <w:sz w:val="24"/>
                <w:szCs w:val="24"/>
                <w:lang w:eastAsia="zh-CN"/>
              </w:rPr>
              <w:t>其他类型</w:t>
            </w:r>
            <w:r>
              <w:rPr>
                <w:rFonts w:hint="eastAsia"/>
                <w:b w:val="0"/>
                <w:bCs w:val="0"/>
                <w:color w:val="auto"/>
                <w:sz w:val="24"/>
                <w:szCs w:val="24"/>
              </w:rPr>
              <w:t>生态功能区。</w:t>
            </w:r>
          </w:p>
          <w:p w14:paraId="36A1CA77">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b w:val="0"/>
                <w:bCs w:val="0"/>
                <w:color w:val="FF0000"/>
                <w:sz w:val="24"/>
                <w:szCs w:val="24"/>
              </w:rPr>
            </w:pPr>
            <w:r>
              <w:rPr>
                <w:rFonts w:hint="eastAsia"/>
                <w:b w:val="0"/>
                <w:bCs w:val="0"/>
                <w:color w:val="FF0000"/>
                <w:sz w:val="24"/>
                <w:szCs w:val="24"/>
              </w:rPr>
              <w:object>
                <v:shape id="_x0000_i1038" o:spt="75" type="#_x0000_t75" style="height:380.4pt;width:369.4pt;" o:ole="t" filled="f" o:preferrelative="t" stroked="f" coordsize="21600,21600">
                  <v:path/>
                  <v:fill on="f" focussize="0,0"/>
                  <v:stroke on="f"/>
                  <v:imagedata r:id="rId41" o:title=""/>
                  <o:lock v:ext="edit" aspectratio="f"/>
                  <w10:wrap type="none"/>
                  <w10:anchorlock/>
                </v:shape>
                <o:OLEObject Type="Embed" ProgID="Visio.Drawing.15" ShapeID="_x0000_i1038" DrawAspect="Content" ObjectID="_1468075738" r:id="rId40">
                  <o:LockedField>false</o:LockedField>
                </o:OLEObject>
              </w:object>
            </w:r>
          </w:p>
          <w:p w14:paraId="19D469A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center"/>
              <w:textAlignment w:val="auto"/>
              <w:rPr>
                <w:rFonts w:hint="eastAsia"/>
                <w:b w:val="0"/>
                <w:bCs w:val="0"/>
                <w:color w:val="auto"/>
                <w:sz w:val="24"/>
                <w:szCs w:val="24"/>
              </w:rPr>
            </w:pPr>
            <w:r>
              <w:rPr>
                <w:rFonts w:hint="eastAsia"/>
                <w:b w:val="0"/>
                <w:bCs w:val="0"/>
                <w:color w:val="auto"/>
                <w:sz w:val="24"/>
                <w:szCs w:val="24"/>
                <w:lang w:eastAsia="zh-CN"/>
              </w:rPr>
              <w:t>图</w:t>
            </w:r>
            <w:r>
              <w:rPr>
                <w:rFonts w:hint="eastAsia"/>
                <w:b w:val="0"/>
                <w:bCs w:val="0"/>
                <w:color w:val="auto"/>
                <w:sz w:val="24"/>
                <w:szCs w:val="24"/>
                <w:lang w:val="en-US" w:eastAsia="zh-CN"/>
              </w:rPr>
              <w:t>3-2  本项目在湖南省生态功能区划中的位置</w:t>
            </w:r>
          </w:p>
          <w:p w14:paraId="1141627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eastAsia="宋体"/>
                <w:b w:val="0"/>
                <w:bCs w:val="0"/>
                <w:color w:val="auto"/>
                <w:sz w:val="24"/>
                <w:szCs w:val="24"/>
                <w:lang w:eastAsia="zh-CN"/>
              </w:rPr>
            </w:pPr>
            <w:r>
              <w:rPr>
                <w:rFonts w:hint="eastAsia"/>
                <w:b w:val="0"/>
                <w:bCs w:val="0"/>
                <w:color w:val="auto"/>
                <w:sz w:val="24"/>
                <w:szCs w:val="24"/>
              </w:rPr>
              <w:t>主要生态问题是人口密度较大，人为活动影响强烈，</w:t>
            </w:r>
            <w:r>
              <w:rPr>
                <w:rFonts w:hint="eastAsia"/>
                <w:b w:val="0"/>
                <w:bCs w:val="0"/>
                <w:color w:val="auto"/>
                <w:sz w:val="24"/>
                <w:szCs w:val="24"/>
                <w:lang w:eastAsia="zh-CN"/>
              </w:rPr>
              <w:t>根据《湖南省水土保持规划（</w:t>
            </w:r>
            <w:r>
              <w:rPr>
                <w:rFonts w:hint="eastAsia"/>
                <w:b w:val="0"/>
                <w:bCs w:val="0"/>
                <w:color w:val="auto"/>
                <w:sz w:val="24"/>
                <w:szCs w:val="24"/>
                <w:lang w:val="en-US" w:eastAsia="zh-CN"/>
              </w:rPr>
              <w:t>2016-2030年</w:t>
            </w:r>
            <w:r>
              <w:rPr>
                <w:rFonts w:hint="eastAsia"/>
                <w:b w:val="0"/>
                <w:bCs w:val="0"/>
                <w:color w:val="auto"/>
                <w:sz w:val="24"/>
                <w:szCs w:val="24"/>
                <w:lang w:eastAsia="zh-CN"/>
              </w:rPr>
              <w:t>）》，岳阳楼区不属于水土流失区。</w:t>
            </w:r>
          </w:p>
          <w:p w14:paraId="7F8E5F9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FF0000"/>
                <w:sz w:val="24"/>
                <w:szCs w:val="24"/>
              </w:rPr>
            </w:pPr>
          </w:p>
          <w:p w14:paraId="5EA2618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FF0000"/>
                <w:sz w:val="24"/>
                <w:szCs w:val="24"/>
              </w:rPr>
            </w:pPr>
          </w:p>
          <w:p w14:paraId="2737BA2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FF0000"/>
                <w:sz w:val="24"/>
                <w:szCs w:val="24"/>
              </w:rPr>
            </w:pPr>
          </w:p>
          <w:p w14:paraId="1EF650A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FF0000"/>
                <w:sz w:val="24"/>
                <w:szCs w:val="24"/>
              </w:rPr>
            </w:pPr>
          </w:p>
          <w:p w14:paraId="1810466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FF0000"/>
                <w:sz w:val="24"/>
                <w:szCs w:val="24"/>
              </w:rPr>
            </w:pPr>
          </w:p>
          <w:p w14:paraId="129018D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FF0000"/>
                <w:sz w:val="24"/>
                <w:szCs w:val="24"/>
              </w:rPr>
            </w:pPr>
          </w:p>
          <w:p w14:paraId="3E78B5B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FF0000"/>
                <w:sz w:val="24"/>
                <w:szCs w:val="24"/>
              </w:rPr>
            </w:pPr>
          </w:p>
          <w:p w14:paraId="2C7FC56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FF0000"/>
                <w:sz w:val="24"/>
                <w:szCs w:val="24"/>
              </w:rPr>
            </w:pPr>
          </w:p>
          <w:p w14:paraId="6BF838C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FF0000"/>
                <w:sz w:val="24"/>
                <w:szCs w:val="24"/>
              </w:rPr>
            </w:pPr>
          </w:p>
          <w:p w14:paraId="02E271BA">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b w:val="0"/>
                <w:bCs w:val="0"/>
                <w:color w:val="FF0000"/>
                <w:sz w:val="24"/>
                <w:szCs w:val="24"/>
              </w:rPr>
            </w:pPr>
            <w:r>
              <w:rPr>
                <w:rFonts w:hint="eastAsia"/>
                <w:b w:val="0"/>
                <w:bCs w:val="0"/>
                <w:color w:val="FF0000"/>
                <w:sz w:val="24"/>
                <w:szCs w:val="24"/>
              </w:rPr>
              <w:object>
                <v:shape id="_x0000_i1039" o:spt="75" type="#_x0000_t75" style="height:359.35pt;width:381.2pt;" o:ole="t" filled="f" o:preferrelative="t" stroked="t" coordsize="21600,21600">
                  <v:path/>
                  <v:fill on="f" focussize="0,0"/>
                  <v:stroke weight="1pt" color="#000000" joinstyle="miter"/>
                  <v:imagedata r:id="rId43" o:title=""/>
                  <o:lock v:ext="edit" aspectratio="f"/>
                  <w10:wrap type="none"/>
                  <w10:anchorlock/>
                </v:shape>
                <o:OLEObject Type="Embed" ProgID="Visio.Drawing.15" ShapeID="_x0000_i1039" DrawAspect="Content" ObjectID="_1468075739" r:id="rId42">
                  <o:LockedField>false</o:LockedField>
                </o:OLEObject>
              </w:object>
            </w:r>
          </w:p>
          <w:p w14:paraId="7186081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center"/>
              <w:textAlignment w:val="auto"/>
              <w:rPr>
                <w:rFonts w:hint="default" w:eastAsia="宋体"/>
                <w:b w:val="0"/>
                <w:bCs w:val="0"/>
                <w:color w:val="auto"/>
                <w:sz w:val="24"/>
                <w:szCs w:val="24"/>
                <w:lang w:val="en-US" w:eastAsia="zh-CN"/>
              </w:rPr>
            </w:pPr>
            <w:r>
              <w:rPr>
                <w:rFonts w:hint="eastAsia"/>
                <w:b w:val="0"/>
                <w:bCs w:val="0"/>
                <w:color w:val="auto"/>
                <w:sz w:val="24"/>
                <w:szCs w:val="24"/>
                <w:lang w:eastAsia="zh-CN"/>
              </w:rPr>
              <w:t>图</w:t>
            </w:r>
            <w:r>
              <w:rPr>
                <w:rFonts w:hint="eastAsia"/>
                <w:b w:val="0"/>
                <w:bCs w:val="0"/>
                <w:color w:val="auto"/>
                <w:sz w:val="24"/>
                <w:szCs w:val="24"/>
                <w:lang w:val="en-US" w:eastAsia="zh-CN"/>
              </w:rPr>
              <w:t>3-3  湖南省水土流失重点预防区和治理区分布图</w:t>
            </w:r>
          </w:p>
          <w:p w14:paraId="22EB54EB">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eastAsia="宋体"/>
                <w:b/>
                <w:bCs/>
                <w:color w:val="auto"/>
                <w:sz w:val="24"/>
                <w:szCs w:val="24"/>
                <w:lang w:val="en-US" w:eastAsia="zh-CN"/>
              </w:rPr>
            </w:pPr>
            <w:r>
              <w:rPr>
                <w:rFonts w:hint="eastAsia"/>
                <w:b/>
                <w:bCs/>
                <w:color w:val="auto"/>
                <w:sz w:val="24"/>
                <w:szCs w:val="24"/>
                <w:lang w:val="en-US" w:eastAsia="zh-CN"/>
              </w:rPr>
              <w:t>2、生态环境质量现状</w:t>
            </w:r>
          </w:p>
          <w:p w14:paraId="611FF2D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本次调查，以管网边界往外扩300m左右，总面积为2752.98hm</w:t>
            </w:r>
            <w:r>
              <w:rPr>
                <w:rFonts w:hint="eastAsia" w:ascii="宋体" w:hAnsi="宋体" w:cs="宋体"/>
                <w:b w:val="0"/>
                <w:bCs w:val="0"/>
                <w:color w:val="auto"/>
                <w:sz w:val="24"/>
                <w:szCs w:val="24"/>
                <w:vertAlign w:val="superscript"/>
                <w:lang w:val="en-US" w:eastAsia="zh-CN"/>
              </w:rPr>
              <w:t>2</w:t>
            </w:r>
            <w:r>
              <w:rPr>
                <w:rFonts w:hint="eastAsia" w:ascii="宋体" w:hAnsi="宋体" w:cs="宋体"/>
                <w:b w:val="0"/>
                <w:bCs w:val="0"/>
                <w:color w:val="auto"/>
                <w:sz w:val="24"/>
                <w:szCs w:val="24"/>
                <w:lang w:val="en-US" w:eastAsia="zh-CN"/>
              </w:rPr>
              <w:t>，以卫星解析资料为基础进行分析。</w:t>
            </w:r>
          </w:p>
          <w:p w14:paraId="068542EA">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bCs/>
                <w:color w:val="auto"/>
                <w:sz w:val="24"/>
                <w:szCs w:val="24"/>
                <w:lang w:val="en-US" w:eastAsia="zh-CN"/>
              </w:rPr>
              <w:t>（1）土地利用类型</w:t>
            </w:r>
          </w:p>
          <w:p w14:paraId="50027AB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土地利用类型如下：</w:t>
            </w:r>
          </w:p>
          <w:p w14:paraId="22CCC97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b w:val="0"/>
                <w:bCs w:val="0"/>
                <w:color w:val="auto"/>
                <w:sz w:val="24"/>
                <w:szCs w:val="24"/>
                <w:lang w:eastAsia="zh-CN"/>
              </w:rPr>
            </w:pPr>
            <w:r>
              <w:rPr>
                <w:rFonts w:hint="default" w:ascii="Times New Roman" w:hAnsi="Times New Roman" w:eastAsia="宋体" w:cs="Times New Roman"/>
                <w:b/>
                <w:bCs/>
                <w:color w:val="auto"/>
                <w:sz w:val="24"/>
                <w:szCs w:val="24"/>
                <w:lang w:val="en-US" w:eastAsia="zh-CN"/>
              </w:rPr>
              <w:t>表3</w:t>
            </w:r>
            <w:r>
              <w:rPr>
                <w:rFonts w:hint="eastAsia" w:ascii="Times New Roman" w:hAnsi="Times New Roman" w:eastAsia="宋体" w:cs="Times New Roman"/>
                <w:b/>
                <w:bCs/>
                <w:color w:val="auto"/>
                <w:sz w:val="24"/>
                <w:szCs w:val="24"/>
                <w:lang w:val="en-US" w:eastAsia="zh-CN"/>
              </w:rPr>
              <w:t>.</w:t>
            </w:r>
            <w:r>
              <w:rPr>
                <w:rFonts w:hint="default" w:ascii="Times New Roman" w:hAnsi="Times New Roman" w:eastAsia="宋体" w:cs="Times New Roman"/>
                <w:b/>
                <w:bCs/>
                <w:color w:val="auto"/>
                <w:sz w:val="24"/>
                <w:szCs w:val="24"/>
                <w:lang w:val="en-US" w:eastAsia="zh-CN"/>
              </w:rPr>
              <w:t xml:space="preserve">1  </w:t>
            </w:r>
            <w:r>
              <w:rPr>
                <w:rFonts w:hint="eastAsia" w:cs="Times New Roman"/>
                <w:b/>
                <w:bCs/>
                <w:color w:val="auto"/>
                <w:sz w:val="24"/>
                <w:szCs w:val="24"/>
                <w:lang w:val="en-US" w:eastAsia="zh-CN"/>
              </w:rPr>
              <w:t>土地利用类型</w:t>
            </w:r>
            <w:r>
              <w:rPr>
                <w:rFonts w:hint="default" w:ascii="Times New Roman" w:hAnsi="Times New Roman" w:eastAsia="宋体" w:cs="Times New Roman"/>
                <w:b/>
                <w:bCs/>
                <w:color w:val="auto"/>
                <w:sz w:val="24"/>
                <w:szCs w:val="24"/>
                <w:lang w:val="en-US" w:eastAsia="zh-CN"/>
              </w:rPr>
              <w:t>表</w:t>
            </w:r>
          </w:p>
          <w:tbl>
            <w:tblPr>
              <w:tblStyle w:val="9"/>
              <w:tblW w:w="8259"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3244"/>
              <w:gridCol w:w="2334"/>
              <w:gridCol w:w="2681"/>
            </w:tblGrid>
            <w:tr w14:paraId="1B50531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52CA4A86">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auto"/>
                      <w:sz w:val="22"/>
                      <w:szCs w:val="22"/>
                      <w:u w:val="none"/>
                    </w:rPr>
                  </w:pPr>
                  <w:r>
                    <w:rPr>
                      <w:rFonts w:hint="eastAsia" w:asciiTheme="minorEastAsia" w:hAnsiTheme="minorEastAsia" w:eastAsiaTheme="minorEastAsia" w:cstheme="minorEastAsia"/>
                      <w:b w:val="0"/>
                      <w:bCs w:val="0"/>
                      <w:i w:val="0"/>
                      <w:iCs w:val="0"/>
                      <w:color w:val="auto"/>
                      <w:kern w:val="0"/>
                      <w:sz w:val="22"/>
                      <w:szCs w:val="22"/>
                      <w:u w:val="none"/>
                      <w:lang w:val="en-US" w:eastAsia="zh-CN" w:bidi="ar"/>
                    </w:rPr>
                    <w:t>类别</w:t>
                  </w:r>
                </w:p>
              </w:tc>
              <w:tc>
                <w:tcPr>
                  <w:tcW w:w="2334" w:type="dxa"/>
                  <w:tcBorders>
                    <w:tl2br w:val="nil"/>
                    <w:tr2bl w:val="nil"/>
                  </w:tcBorders>
                  <w:shd w:val="clear" w:color="auto" w:fill="auto"/>
                  <w:noWrap/>
                  <w:vAlign w:val="center"/>
                </w:tcPr>
                <w:p w14:paraId="1FCDF30A">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auto"/>
                      <w:sz w:val="22"/>
                      <w:szCs w:val="22"/>
                      <w:u w:val="none"/>
                    </w:rPr>
                  </w:pPr>
                  <w:r>
                    <w:rPr>
                      <w:rFonts w:hint="eastAsia" w:asciiTheme="minorEastAsia" w:hAnsiTheme="minorEastAsia" w:eastAsiaTheme="minorEastAsia" w:cstheme="minorEastAsia"/>
                      <w:b w:val="0"/>
                      <w:bCs w:val="0"/>
                      <w:i w:val="0"/>
                      <w:iCs w:val="0"/>
                      <w:color w:val="auto"/>
                      <w:kern w:val="0"/>
                      <w:sz w:val="22"/>
                      <w:szCs w:val="22"/>
                      <w:u w:val="none"/>
                      <w:lang w:val="en-US" w:eastAsia="zh-CN" w:bidi="ar"/>
                    </w:rPr>
                    <w:t>面积（hm</w:t>
                  </w:r>
                  <w:r>
                    <w:rPr>
                      <w:rFonts w:hint="eastAsia" w:asciiTheme="minorEastAsia" w:hAnsiTheme="minorEastAsia" w:eastAsiaTheme="minorEastAsia" w:cstheme="minorEastAsia"/>
                      <w:b w:val="0"/>
                      <w:bCs w:val="0"/>
                      <w:color w:val="auto"/>
                      <w:sz w:val="22"/>
                      <w:szCs w:val="22"/>
                      <w:lang w:val="en-US" w:eastAsia="zh-CN" w:bidi="ar"/>
                    </w:rPr>
                    <w:t>²</w:t>
                  </w:r>
                  <w:r>
                    <w:rPr>
                      <w:rFonts w:hint="eastAsia" w:asciiTheme="minorEastAsia" w:hAnsiTheme="minorEastAsia" w:eastAsiaTheme="minorEastAsia" w:cstheme="minorEastAsia"/>
                      <w:b w:val="0"/>
                      <w:bCs w:val="0"/>
                      <w:i w:val="0"/>
                      <w:iCs w:val="0"/>
                      <w:color w:val="auto"/>
                      <w:kern w:val="0"/>
                      <w:sz w:val="22"/>
                      <w:szCs w:val="22"/>
                      <w:u w:val="none"/>
                      <w:lang w:val="en-US" w:eastAsia="zh-CN" w:bidi="ar"/>
                    </w:rPr>
                    <w:t>)</w:t>
                  </w:r>
                </w:p>
              </w:tc>
              <w:tc>
                <w:tcPr>
                  <w:tcW w:w="2681" w:type="dxa"/>
                  <w:tcBorders>
                    <w:tl2br w:val="nil"/>
                    <w:tr2bl w:val="nil"/>
                  </w:tcBorders>
                  <w:shd w:val="clear" w:color="auto" w:fill="auto"/>
                  <w:noWrap/>
                  <w:vAlign w:val="center"/>
                </w:tcPr>
                <w:p w14:paraId="3C937E8D">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auto"/>
                      <w:sz w:val="22"/>
                      <w:szCs w:val="22"/>
                      <w:u w:val="none"/>
                    </w:rPr>
                  </w:pPr>
                  <w:r>
                    <w:rPr>
                      <w:rFonts w:hint="eastAsia" w:asciiTheme="minorEastAsia" w:hAnsiTheme="minorEastAsia" w:eastAsiaTheme="minorEastAsia" w:cstheme="minorEastAsia"/>
                      <w:b w:val="0"/>
                      <w:bCs w:val="0"/>
                      <w:i w:val="0"/>
                      <w:iCs w:val="0"/>
                      <w:color w:val="auto"/>
                      <w:kern w:val="0"/>
                      <w:sz w:val="22"/>
                      <w:szCs w:val="22"/>
                      <w:u w:val="none"/>
                      <w:lang w:val="en-US" w:eastAsia="zh-CN" w:bidi="ar"/>
                    </w:rPr>
                    <w:t>面积占比（%）</w:t>
                  </w:r>
                </w:p>
              </w:tc>
            </w:tr>
            <w:tr w14:paraId="582C257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032F127F">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FF0000"/>
                      <w:sz w:val="22"/>
                      <w:szCs w:val="22"/>
                      <w:u w:val="none"/>
                    </w:rPr>
                  </w:pPr>
                  <w:r>
                    <w:rPr>
                      <w:rFonts w:hint="eastAsia" w:asciiTheme="minorEastAsia" w:hAnsiTheme="minorEastAsia" w:eastAsiaTheme="minorEastAsia" w:cstheme="minorEastAsia"/>
                      <w:b w:val="0"/>
                      <w:bCs w:val="0"/>
                      <w:i w:val="0"/>
                      <w:iCs w:val="0"/>
                      <w:color w:val="000000"/>
                      <w:kern w:val="0"/>
                      <w:sz w:val="22"/>
                      <w:szCs w:val="22"/>
                      <w:u w:val="none"/>
                      <w:lang w:val="en-US" w:eastAsia="zh-CN" w:bidi="ar"/>
                    </w:rPr>
                    <w:t>耕地</w:t>
                  </w:r>
                </w:p>
              </w:tc>
              <w:tc>
                <w:tcPr>
                  <w:tcW w:w="2334" w:type="dxa"/>
                  <w:tcBorders>
                    <w:tl2br w:val="nil"/>
                    <w:tr2bl w:val="nil"/>
                  </w:tcBorders>
                  <w:shd w:val="clear" w:color="auto" w:fill="auto"/>
                  <w:noWrap/>
                  <w:vAlign w:val="center"/>
                </w:tcPr>
                <w:p w14:paraId="485C6A21">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487.08 </w:t>
                  </w:r>
                </w:p>
              </w:tc>
              <w:tc>
                <w:tcPr>
                  <w:tcW w:w="2681" w:type="dxa"/>
                  <w:tcBorders>
                    <w:tl2br w:val="nil"/>
                    <w:tr2bl w:val="nil"/>
                  </w:tcBorders>
                  <w:shd w:val="clear" w:color="auto" w:fill="auto"/>
                  <w:noWrap/>
                  <w:vAlign w:val="center"/>
                </w:tcPr>
                <w:p w14:paraId="31D1D173">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17.69 </w:t>
                  </w:r>
                </w:p>
              </w:tc>
            </w:tr>
            <w:tr w14:paraId="365C60A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6915F0CB">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FF0000"/>
                      <w:sz w:val="22"/>
                      <w:szCs w:val="22"/>
                      <w:u w:val="none"/>
                    </w:rPr>
                  </w:pPr>
                  <w:r>
                    <w:rPr>
                      <w:rFonts w:hint="eastAsia" w:asciiTheme="minorEastAsia" w:hAnsiTheme="minorEastAsia" w:eastAsiaTheme="minorEastAsia" w:cstheme="minorEastAsia"/>
                      <w:b w:val="0"/>
                      <w:bCs w:val="0"/>
                      <w:i w:val="0"/>
                      <w:iCs w:val="0"/>
                      <w:color w:val="000000"/>
                      <w:kern w:val="0"/>
                      <w:sz w:val="22"/>
                      <w:szCs w:val="22"/>
                      <w:u w:val="none"/>
                      <w:lang w:val="en-US" w:eastAsia="zh-CN" w:bidi="ar"/>
                    </w:rPr>
                    <w:t>园地</w:t>
                  </w:r>
                </w:p>
              </w:tc>
              <w:tc>
                <w:tcPr>
                  <w:tcW w:w="2334" w:type="dxa"/>
                  <w:tcBorders>
                    <w:tl2br w:val="nil"/>
                    <w:tr2bl w:val="nil"/>
                  </w:tcBorders>
                  <w:shd w:val="clear" w:color="auto" w:fill="auto"/>
                  <w:noWrap/>
                  <w:vAlign w:val="center"/>
                </w:tcPr>
                <w:p w14:paraId="45483DA8">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56.62 </w:t>
                  </w:r>
                </w:p>
              </w:tc>
              <w:tc>
                <w:tcPr>
                  <w:tcW w:w="2681" w:type="dxa"/>
                  <w:tcBorders>
                    <w:tl2br w:val="nil"/>
                    <w:tr2bl w:val="nil"/>
                  </w:tcBorders>
                  <w:shd w:val="clear" w:color="auto" w:fill="auto"/>
                  <w:noWrap/>
                  <w:vAlign w:val="center"/>
                </w:tcPr>
                <w:p w14:paraId="075D9DE1">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2.06 </w:t>
                  </w:r>
                </w:p>
              </w:tc>
            </w:tr>
            <w:tr w14:paraId="44740A0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2086C25D">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FF0000"/>
                      <w:sz w:val="22"/>
                      <w:szCs w:val="22"/>
                      <w:u w:val="none"/>
                    </w:rPr>
                  </w:pPr>
                  <w:r>
                    <w:rPr>
                      <w:rFonts w:hint="eastAsia" w:asciiTheme="minorEastAsia" w:hAnsiTheme="minorEastAsia" w:eastAsiaTheme="minorEastAsia" w:cstheme="minorEastAsia"/>
                      <w:b w:val="0"/>
                      <w:bCs w:val="0"/>
                      <w:i w:val="0"/>
                      <w:iCs w:val="0"/>
                      <w:color w:val="000000"/>
                      <w:kern w:val="0"/>
                      <w:sz w:val="22"/>
                      <w:szCs w:val="22"/>
                      <w:u w:val="none"/>
                      <w:lang w:val="en-US" w:eastAsia="zh-CN" w:bidi="ar"/>
                    </w:rPr>
                    <w:t>乔木林地</w:t>
                  </w:r>
                </w:p>
              </w:tc>
              <w:tc>
                <w:tcPr>
                  <w:tcW w:w="2334" w:type="dxa"/>
                  <w:tcBorders>
                    <w:tl2br w:val="nil"/>
                    <w:tr2bl w:val="nil"/>
                  </w:tcBorders>
                  <w:shd w:val="clear" w:color="auto" w:fill="auto"/>
                  <w:noWrap/>
                  <w:vAlign w:val="center"/>
                </w:tcPr>
                <w:p w14:paraId="18A36EDA">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746.96 </w:t>
                  </w:r>
                </w:p>
              </w:tc>
              <w:tc>
                <w:tcPr>
                  <w:tcW w:w="2681" w:type="dxa"/>
                  <w:tcBorders>
                    <w:tl2br w:val="nil"/>
                    <w:tr2bl w:val="nil"/>
                  </w:tcBorders>
                  <w:shd w:val="clear" w:color="auto" w:fill="auto"/>
                  <w:noWrap/>
                  <w:vAlign w:val="center"/>
                </w:tcPr>
                <w:p w14:paraId="4249E998">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27.13 </w:t>
                  </w:r>
                </w:p>
              </w:tc>
            </w:tr>
            <w:tr w14:paraId="4320718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240670A7">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FF0000"/>
                      <w:sz w:val="22"/>
                      <w:szCs w:val="22"/>
                      <w:u w:val="none"/>
                    </w:rPr>
                  </w:pPr>
                  <w:r>
                    <w:rPr>
                      <w:rFonts w:hint="eastAsia" w:asciiTheme="minorEastAsia" w:hAnsiTheme="minorEastAsia" w:eastAsiaTheme="minorEastAsia" w:cstheme="minorEastAsia"/>
                      <w:b w:val="0"/>
                      <w:bCs w:val="0"/>
                      <w:i w:val="0"/>
                      <w:iCs w:val="0"/>
                      <w:color w:val="000000"/>
                      <w:kern w:val="0"/>
                      <w:sz w:val="22"/>
                      <w:szCs w:val="22"/>
                      <w:u w:val="none"/>
                      <w:lang w:val="en-US" w:eastAsia="zh-CN" w:bidi="ar"/>
                    </w:rPr>
                    <w:t>竹林地</w:t>
                  </w:r>
                </w:p>
              </w:tc>
              <w:tc>
                <w:tcPr>
                  <w:tcW w:w="2334" w:type="dxa"/>
                  <w:tcBorders>
                    <w:tl2br w:val="nil"/>
                    <w:tr2bl w:val="nil"/>
                  </w:tcBorders>
                  <w:shd w:val="clear" w:color="auto" w:fill="auto"/>
                  <w:noWrap/>
                  <w:vAlign w:val="center"/>
                </w:tcPr>
                <w:p w14:paraId="6A819E19">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35.18 </w:t>
                  </w:r>
                </w:p>
              </w:tc>
              <w:tc>
                <w:tcPr>
                  <w:tcW w:w="2681" w:type="dxa"/>
                  <w:tcBorders>
                    <w:tl2br w:val="nil"/>
                    <w:tr2bl w:val="nil"/>
                  </w:tcBorders>
                  <w:shd w:val="clear" w:color="auto" w:fill="auto"/>
                  <w:noWrap/>
                  <w:vAlign w:val="center"/>
                </w:tcPr>
                <w:p w14:paraId="372441F9">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1.28 </w:t>
                  </w:r>
                </w:p>
              </w:tc>
            </w:tr>
            <w:tr w14:paraId="2062F7C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74B348FA">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FF0000"/>
                      <w:sz w:val="22"/>
                      <w:szCs w:val="22"/>
                      <w:u w:val="none"/>
                    </w:rPr>
                  </w:pPr>
                  <w:r>
                    <w:rPr>
                      <w:rFonts w:hint="eastAsia" w:asciiTheme="minorEastAsia" w:hAnsiTheme="minorEastAsia" w:eastAsiaTheme="minorEastAsia" w:cstheme="minorEastAsia"/>
                      <w:b w:val="0"/>
                      <w:bCs w:val="0"/>
                      <w:i w:val="0"/>
                      <w:iCs w:val="0"/>
                      <w:color w:val="000000"/>
                      <w:kern w:val="0"/>
                      <w:sz w:val="22"/>
                      <w:szCs w:val="22"/>
                      <w:u w:val="none"/>
                      <w:lang w:val="en-US" w:eastAsia="zh-CN" w:bidi="ar"/>
                    </w:rPr>
                    <w:t>其他林地</w:t>
                  </w:r>
                </w:p>
              </w:tc>
              <w:tc>
                <w:tcPr>
                  <w:tcW w:w="2334" w:type="dxa"/>
                  <w:tcBorders>
                    <w:tl2br w:val="nil"/>
                    <w:tr2bl w:val="nil"/>
                  </w:tcBorders>
                  <w:shd w:val="clear" w:color="auto" w:fill="auto"/>
                  <w:noWrap/>
                  <w:vAlign w:val="center"/>
                </w:tcPr>
                <w:p w14:paraId="55DC9CD5">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2.21 </w:t>
                  </w:r>
                </w:p>
              </w:tc>
              <w:tc>
                <w:tcPr>
                  <w:tcW w:w="2681" w:type="dxa"/>
                  <w:tcBorders>
                    <w:tl2br w:val="nil"/>
                    <w:tr2bl w:val="nil"/>
                  </w:tcBorders>
                  <w:shd w:val="clear" w:color="auto" w:fill="auto"/>
                  <w:noWrap/>
                  <w:vAlign w:val="center"/>
                </w:tcPr>
                <w:p w14:paraId="5055A843">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0.08 </w:t>
                  </w:r>
                </w:p>
              </w:tc>
            </w:tr>
            <w:tr w14:paraId="7B2A775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367CD3B5">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FF0000"/>
                      <w:sz w:val="22"/>
                      <w:szCs w:val="22"/>
                      <w:u w:val="none"/>
                    </w:rPr>
                  </w:pPr>
                  <w:r>
                    <w:rPr>
                      <w:rFonts w:hint="eastAsia" w:asciiTheme="minorEastAsia" w:hAnsiTheme="minorEastAsia" w:eastAsiaTheme="minorEastAsia" w:cstheme="minorEastAsia"/>
                      <w:b w:val="0"/>
                      <w:bCs w:val="0"/>
                      <w:i w:val="0"/>
                      <w:iCs w:val="0"/>
                      <w:color w:val="000000"/>
                      <w:kern w:val="0"/>
                      <w:sz w:val="22"/>
                      <w:szCs w:val="22"/>
                      <w:u w:val="none"/>
                      <w:lang w:val="en-US" w:eastAsia="zh-CN" w:bidi="ar"/>
                    </w:rPr>
                    <w:t>灌木林地</w:t>
                  </w:r>
                </w:p>
              </w:tc>
              <w:tc>
                <w:tcPr>
                  <w:tcW w:w="2334" w:type="dxa"/>
                  <w:tcBorders>
                    <w:tl2br w:val="nil"/>
                    <w:tr2bl w:val="nil"/>
                  </w:tcBorders>
                  <w:shd w:val="clear" w:color="auto" w:fill="auto"/>
                  <w:noWrap/>
                  <w:vAlign w:val="center"/>
                </w:tcPr>
                <w:p w14:paraId="29FB9DA8">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41.04 </w:t>
                  </w:r>
                </w:p>
              </w:tc>
              <w:tc>
                <w:tcPr>
                  <w:tcW w:w="2681" w:type="dxa"/>
                  <w:tcBorders>
                    <w:tl2br w:val="nil"/>
                    <w:tr2bl w:val="nil"/>
                  </w:tcBorders>
                  <w:shd w:val="clear" w:color="auto" w:fill="auto"/>
                  <w:noWrap/>
                  <w:vAlign w:val="center"/>
                </w:tcPr>
                <w:p w14:paraId="0847E3FA">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1.49 </w:t>
                  </w:r>
                </w:p>
              </w:tc>
            </w:tr>
            <w:tr w14:paraId="46E16FD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157AAE84">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FF0000"/>
                      <w:sz w:val="22"/>
                      <w:szCs w:val="22"/>
                      <w:u w:val="none"/>
                    </w:rPr>
                  </w:pPr>
                  <w:r>
                    <w:rPr>
                      <w:rFonts w:hint="eastAsia" w:asciiTheme="minorEastAsia" w:hAnsiTheme="minorEastAsia" w:eastAsiaTheme="minorEastAsia" w:cstheme="minorEastAsia"/>
                      <w:b w:val="0"/>
                      <w:bCs w:val="0"/>
                      <w:i w:val="0"/>
                      <w:iCs w:val="0"/>
                      <w:color w:val="000000"/>
                      <w:kern w:val="0"/>
                      <w:sz w:val="22"/>
                      <w:szCs w:val="22"/>
                      <w:u w:val="none"/>
                      <w:lang w:val="en-US" w:eastAsia="zh-CN" w:bidi="ar"/>
                    </w:rPr>
                    <w:t>其他草地</w:t>
                  </w:r>
                </w:p>
              </w:tc>
              <w:tc>
                <w:tcPr>
                  <w:tcW w:w="2334" w:type="dxa"/>
                  <w:tcBorders>
                    <w:tl2br w:val="nil"/>
                    <w:tr2bl w:val="nil"/>
                  </w:tcBorders>
                  <w:shd w:val="clear" w:color="auto" w:fill="auto"/>
                  <w:noWrap/>
                  <w:vAlign w:val="center"/>
                </w:tcPr>
                <w:p w14:paraId="38066B3A">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37.98 </w:t>
                  </w:r>
                </w:p>
              </w:tc>
              <w:tc>
                <w:tcPr>
                  <w:tcW w:w="2681" w:type="dxa"/>
                  <w:tcBorders>
                    <w:tl2br w:val="nil"/>
                    <w:tr2bl w:val="nil"/>
                  </w:tcBorders>
                  <w:shd w:val="clear" w:color="auto" w:fill="auto"/>
                  <w:noWrap/>
                  <w:vAlign w:val="center"/>
                </w:tcPr>
                <w:p w14:paraId="376DFF22">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1.38 </w:t>
                  </w:r>
                </w:p>
              </w:tc>
            </w:tr>
            <w:tr w14:paraId="3313F09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72F37D3F">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FF0000"/>
                      <w:sz w:val="22"/>
                      <w:szCs w:val="22"/>
                      <w:u w:val="none"/>
                    </w:rPr>
                  </w:pPr>
                  <w:r>
                    <w:rPr>
                      <w:rFonts w:hint="eastAsia" w:asciiTheme="minorEastAsia" w:hAnsiTheme="minorEastAsia" w:eastAsiaTheme="minorEastAsia" w:cstheme="minorEastAsia"/>
                      <w:b w:val="0"/>
                      <w:bCs w:val="0"/>
                      <w:i w:val="0"/>
                      <w:iCs w:val="0"/>
                      <w:color w:val="000000"/>
                      <w:kern w:val="0"/>
                      <w:sz w:val="22"/>
                      <w:szCs w:val="22"/>
                      <w:u w:val="none"/>
                      <w:lang w:val="en-US" w:eastAsia="zh-CN" w:bidi="ar"/>
                    </w:rPr>
                    <w:t>商服用地</w:t>
                  </w:r>
                </w:p>
              </w:tc>
              <w:tc>
                <w:tcPr>
                  <w:tcW w:w="2334" w:type="dxa"/>
                  <w:tcBorders>
                    <w:tl2br w:val="nil"/>
                    <w:tr2bl w:val="nil"/>
                  </w:tcBorders>
                  <w:shd w:val="clear" w:color="auto" w:fill="auto"/>
                  <w:noWrap/>
                  <w:vAlign w:val="center"/>
                </w:tcPr>
                <w:p w14:paraId="7A91CCF2">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44.34 </w:t>
                  </w:r>
                </w:p>
              </w:tc>
              <w:tc>
                <w:tcPr>
                  <w:tcW w:w="2681" w:type="dxa"/>
                  <w:tcBorders>
                    <w:tl2br w:val="nil"/>
                    <w:tr2bl w:val="nil"/>
                  </w:tcBorders>
                  <w:shd w:val="clear" w:color="auto" w:fill="auto"/>
                  <w:noWrap/>
                  <w:vAlign w:val="center"/>
                </w:tcPr>
                <w:p w14:paraId="5A7C641F">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1.61 </w:t>
                  </w:r>
                </w:p>
              </w:tc>
            </w:tr>
            <w:tr w14:paraId="6EE07A5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491B8A07">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FF0000"/>
                      <w:sz w:val="22"/>
                      <w:szCs w:val="22"/>
                      <w:u w:val="none"/>
                    </w:rPr>
                  </w:pPr>
                  <w:r>
                    <w:rPr>
                      <w:rFonts w:hint="eastAsia" w:asciiTheme="minorEastAsia" w:hAnsiTheme="minorEastAsia" w:eastAsiaTheme="minorEastAsia" w:cstheme="minorEastAsia"/>
                      <w:b w:val="0"/>
                      <w:bCs w:val="0"/>
                      <w:i w:val="0"/>
                      <w:iCs w:val="0"/>
                      <w:color w:val="000000"/>
                      <w:kern w:val="0"/>
                      <w:sz w:val="22"/>
                      <w:szCs w:val="22"/>
                      <w:u w:val="none"/>
                      <w:lang w:val="en-US" w:eastAsia="zh-CN" w:bidi="ar"/>
                    </w:rPr>
                    <w:t>工矿仓储用地</w:t>
                  </w:r>
                </w:p>
              </w:tc>
              <w:tc>
                <w:tcPr>
                  <w:tcW w:w="2334" w:type="dxa"/>
                  <w:tcBorders>
                    <w:tl2br w:val="nil"/>
                    <w:tr2bl w:val="nil"/>
                  </w:tcBorders>
                  <w:shd w:val="clear" w:color="auto" w:fill="auto"/>
                  <w:noWrap/>
                  <w:vAlign w:val="center"/>
                </w:tcPr>
                <w:p w14:paraId="5EB78C36">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38.26 </w:t>
                  </w:r>
                </w:p>
              </w:tc>
              <w:tc>
                <w:tcPr>
                  <w:tcW w:w="2681" w:type="dxa"/>
                  <w:tcBorders>
                    <w:tl2br w:val="nil"/>
                    <w:tr2bl w:val="nil"/>
                  </w:tcBorders>
                  <w:shd w:val="clear" w:color="auto" w:fill="auto"/>
                  <w:noWrap/>
                  <w:vAlign w:val="center"/>
                </w:tcPr>
                <w:p w14:paraId="4BDA2592">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1.39 </w:t>
                  </w:r>
                </w:p>
              </w:tc>
            </w:tr>
            <w:tr w14:paraId="2489BDB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2F83A14F">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FF0000"/>
                      <w:sz w:val="22"/>
                      <w:szCs w:val="22"/>
                      <w:u w:val="none"/>
                    </w:rPr>
                  </w:pPr>
                  <w:r>
                    <w:rPr>
                      <w:rFonts w:hint="eastAsia" w:asciiTheme="minorEastAsia" w:hAnsiTheme="minorEastAsia" w:eastAsiaTheme="minorEastAsia" w:cstheme="minorEastAsia"/>
                      <w:b w:val="0"/>
                      <w:bCs w:val="0"/>
                      <w:i w:val="0"/>
                      <w:iCs w:val="0"/>
                      <w:color w:val="000000"/>
                      <w:kern w:val="0"/>
                      <w:sz w:val="22"/>
                      <w:szCs w:val="22"/>
                      <w:u w:val="none"/>
                      <w:lang w:val="en-US" w:eastAsia="zh-CN" w:bidi="ar"/>
                    </w:rPr>
                    <w:t>住宅用地</w:t>
                  </w:r>
                </w:p>
              </w:tc>
              <w:tc>
                <w:tcPr>
                  <w:tcW w:w="2334" w:type="dxa"/>
                  <w:tcBorders>
                    <w:tl2br w:val="nil"/>
                    <w:tr2bl w:val="nil"/>
                  </w:tcBorders>
                  <w:shd w:val="clear" w:color="auto" w:fill="auto"/>
                  <w:noWrap/>
                  <w:vAlign w:val="center"/>
                </w:tcPr>
                <w:p w14:paraId="5FB08BAB">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734.95 </w:t>
                  </w:r>
                </w:p>
              </w:tc>
              <w:tc>
                <w:tcPr>
                  <w:tcW w:w="2681" w:type="dxa"/>
                  <w:tcBorders>
                    <w:tl2br w:val="nil"/>
                    <w:tr2bl w:val="nil"/>
                  </w:tcBorders>
                  <w:shd w:val="clear" w:color="auto" w:fill="auto"/>
                  <w:noWrap/>
                  <w:vAlign w:val="center"/>
                </w:tcPr>
                <w:p w14:paraId="700B7897">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26.70 </w:t>
                  </w:r>
                </w:p>
              </w:tc>
            </w:tr>
            <w:tr w14:paraId="0CA5E9A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2820E031">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FF0000"/>
                      <w:sz w:val="22"/>
                      <w:szCs w:val="22"/>
                      <w:u w:val="none"/>
                    </w:rPr>
                  </w:pPr>
                  <w:r>
                    <w:rPr>
                      <w:rFonts w:hint="eastAsia" w:asciiTheme="minorEastAsia" w:hAnsiTheme="minorEastAsia" w:eastAsiaTheme="minorEastAsia" w:cstheme="minorEastAsia"/>
                      <w:b w:val="0"/>
                      <w:bCs w:val="0"/>
                      <w:i w:val="0"/>
                      <w:iCs w:val="0"/>
                      <w:color w:val="000000"/>
                      <w:kern w:val="0"/>
                      <w:sz w:val="22"/>
                      <w:szCs w:val="22"/>
                      <w:u w:val="none"/>
                      <w:lang w:val="en-US" w:eastAsia="zh-CN" w:bidi="ar"/>
                    </w:rPr>
                    <w:t>公共管理与公共服务用地</w:t>
                  </w:r>
                </w:p>
              </w:tc>
              <w:tc>
                <w:tcPr>
                  <w:tcW w:w="2334" w:type="dxa"/>
                  <w:tcBorders>
                    <w:tl2br w:val="nil"/>
                    <w:tr2bl w:val="nil"/>
                  </w:tcBorders>
                  <w:shd w:val="clear" w:color="auto" w:fill="auto"/>
                  <w:noWrap/>
                  <w:vAlign w:val="center"/>
                </w:tcPr>
                <w:p w14:paraId="07BED1DD">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72.46 </w:t>
                  </w:r>
                </w:p>
              </w:tc>
              <w:tc>
                <w:tcPr>
                  <w:tcW w:w="2681" w:type="dxa"/>
                  <w:tcBorders>
                    <w:tl2br w:val="nil"/>
                    <w:tr2bl w:val="nil"/>
                  </w:tcBorders>
                  <w:shd w:val="clear" w:color="auto" w:fill="auto"/>
                  <w:noWrap/>
                  <w:vAlign w:val="center"/>
                </w:tcPr>
                <w:p w14:paraId="2370DEF1">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2.63 </w:t>
                  </w:r>
                </w:p>
              </w:tc>
            </w:tr>
            <w:tr w14:paraId="4B2CE78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501E7BFA">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FF0000"/>
                      <w:sz w:val="22"/>
                      <w:szCs w:val="22"/>
                      <w:u w:val="none"/>
                    </w:rPr>
                  </w:pPr>
                  <w:r>
                    <w:rPr>
                      <w:rFonts w:hint="eastAsia" w:asciiTheme="minorEastAsia" w:hAnsiTheme="minorEastAsia" w:eastAsiaTheme="minorEastAsia" w:cstheme="minorEastAsia"/>
                      <w:b w:val="0"/>
                      <w:bCs w:val="0"/>
                      <w:i w:val="0"/>
                      <w:iCs w:val="0"/>
                      <w:color w:val="000000"/>
                      <w:kern w:val="0"/>
                      <w:sz w:val="22"/>
                      <w:szCs w:val="22"/>
                      <w:u w:val="none"/>
                      <w:lang w:val="en-US" w:eastAsia="zh-CN" w:bidi="ar"/>
                    </w:rPr>
                    <w:t>城市绿地</w:t>
                  </w:r>
                </w:p>
              </w:tc>
              <w:tc>
                <w:tcPr>
                  <w:tcW w:w="2334" w:type="dxa"/>
                  <w:tcBorders>
                    <w:tl2br w:val="nil"/>
                    <w:tr2bl w:val="nil"/>
                  </w:tcBorders>
                  <w:shd w:val="clear" w:color="auto" w:fill="auto"/>
                  <w:noWrap/>
                  <w:vAlign w:val="center"/>
                </w:tcPr>
                <w:p w14:paraId="3E1E3FEE">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39.29 </w:t>
                  </w:r>
                </w:p>
              </w:tc>
              <w:tc>
                <w:tcPr>
                  <w:tcW w:w="2681" w:type="dxa"/>
                  <w:tcBorders>
                    <w:tl2br w:val="nil"/>
                    <w:tr2bl w:val="nil"/>
                  </w:tcBorders>
                  <w:shd w:val="clear" w:color="auto" w:fill="auto"/>
                  <w:noWrap/>
                  <w:vAlign w:val="center"/>
                </w:tcPr>
                <w:p w14:paraId="75785DDD">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1.43 </w:t>
                  </w:r>
                </w:p>
              </w:tc>
            </w:tr>
            <w:tr w14:paraId="36CDC01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3A63F661">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FF0000"/>
                      <w:sz w:val="22"/>
                      <w:szCs w:val="22"/>
                      <w:u w:val="none"/>
                    </w:rPr>
                  </w:pPr>
                  <w:r>
                    <w:rPr>
                      <w:rFonts w:hint="eastAsia" w:asciiTheme="minorEastAsia" w:hAnsiTheme="minorEastAsia" w:eastAsiaTheme="minorEastAsia" w:cstheme="minorEastAsia"/>
                      <w:b w:val="0"/>
                      <w:bCs w:val="0"/>
                      <w:i w:val="0"/>
                      <w:iCs w:val="0"/>
                      <w:color w:val="000000"/>
                      <w:kern w:val="0"/>
                      <w:sz w:val="22"/>
                      <w:szCs w:val="22"/>
                      <w:u w:val="none"/>
                      <w:lang w:val="en-US" w:eastAsia="zh-CN" w:bidi="ar"/>
                    </w:rPr>
                    <w:t>特殊用地</w:t>
                  </w:r>
                </w:p>
              </w:tc>
              <w:tc>
                <w:tcPr>
                  <w:tcW w:w="2334" w:type="dxa"/>
                  <w:tcBorders>
                    <w:tl2br w:val="nil"/>
                    <w:tr2bl w:val="nil"/>
                  </w:tcBorders>
                  <w:shd w:val="clear" w:color="auto" w:fill="auto"/>
                  <w:noWrap/>
                  <w:vAlign w:val="center"/>
                </w:tcPr>
                <w:p w14:paraId="721C1CE0">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0.47 </w:t>
                  </w:r>
                </w:p>
              </w:tc>
              <w:tc>
                <w:tcPr>
                  <w:tcW w:w="2681" w:type="dxa"/>
                  <w:tcBorders>
                    <w:tl2br w:val="nil"/>
                    <w:tr2bl w:val="nil"/>
                  </w:tcBorders>
                  <w:shd w:val="clear" w:color="auto" w:fill="auto"/>
                  <w:noWrap/>
                  <w:vAlign w:val="center"/>
                </w:tcPr>
                <w:p w14:paraId="116B416E">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0.02 </w:t>
                  </w:r>
                </w:p>
              </w:tc>
            </w:tr>
            <w:tr w14:paraId="34DD8FB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6A5AACE4">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FF0000"/>
                      <w:sz w:val="22"/>
                      <w:szCs w:val="22"/>
                      <w:u w:val="none"/>
                    </w:rPr>
                  </w:pPr>
                  <w:r>
                    <w:rPr>
                      <w:rFonts w:hint="eastAsia" w:asciiTheme="minorEastAsia" w:hAnsiTheme="minorEastAsia" w:eastAsiaTheme="minorEastAsia" w:cstheme="minorEastAsia"/>
                      <w:b w:val="0"/>
                      <w:bCs w:val="0"/>
                      <w:i w:val="0"/>
                      <w:iCs w:val="0"/>
                      <w:color w:val="000000"/>
                      <w:kern w:val="0"/>
                      <w:sz w:val="22"/>
                      <w:szCs w:val="22"/>
                      <w:u w:val="none"/>
                      <w:lang w:val="en-US" w:eastAsia="zh-CN" w:bidi="ar"/>
                    </w:rPr>
                    <w:t>交通运输用地</w:t>
                  </w:r>
                </w:p>
              </w:tc>
              <w:tc>
                <w:tcPr>
                  <w:tcW w:w="2334" w:type="dxa"/>
                  <w:tcBorders>
                    <w:tl2br w:val="nil"/>
                    <w:tr2bl w:val="nil"/>
                  </w:tcBorders>
                  <w:shd w:val="clear" w:color="auto" w:fill="auto"/>
                  <w:noWrap/>
                  <w:vAlign w:val="center"/>
                </w:tcPr>
                <w:p w14:paraId="3D7413D1">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165.73 </w:t>
                  </w:r>
                </w:p>
              </w:tc>
              <w:tc>
                <w:tcPr>
                  <w:tcW w:w="2681" w:type="dxa"/>
                  <w:tcBorders>
                    <w:tl2br w:val="nil"/>
                    <w:tr2bl w:val="nil"/>
                  </w:tcBorders>
                  <w:shd w:val="clear" w:color="auto" w:fill="auto"/>
                  <w:noWrap/>
                  <w:vAlign w:val="center"/>
                </w:tcPr>
                <w:p w14:paraId="15CFC2DA">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6.02 </w:t>
                  </w:r>
                </w:p>
              </w:tc>
            </w:tr>
            <w:tr w14:paraId="5B3D9FF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439F6B5C">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FF0000"/>
                      <w:sz w:val="22"/>
                      <w:szCs w:val="22"/>
                      <w:u w:val="none"/>
                    </w:rPr>
                  </w:pPr>
                  <w:r>
                    <w:rPr>
                      <w:rFonts w:hint="eastAsia" w:asciiTheme="minorEastAsia" w:hAnsiTheme="minorEastAsia" w:eastAsiaTheme="minorEastAsia" w:cstheme="minorEastAsia"/>
                      <w:b w:val="0"/>
                      <w:bCs w:val="0"/>
                      <w:i w:val="0"/>
                      <w:iCs w:val="0"/>
                      <w:color w:val="000000"/>
                      <w:kern w:val="0"/>
                      <w:sz w:val="22"/>
                      <w:szCs w:val="22"/>
                      <w:u w:val="none"/>
                      <w:lang w:val="en-US" w:eastAsia="zh-CN" w:bidi="ar"/>
                    </w:rPr>
                    <w:t>河流水面</w:t>
                  </w:r>
                </w:p>
              </w:tc>
              <w:tc>
                <w:tcPr>
                  <w:tcW w:w="2334" w:type="dxa"/>
                  <w:tcBorders>
                    <w:tl2br w:val="nil"/>
                    <w:tr2bl w:val="nil"/>
                  </w:tcBorders>
                  <w:shd w:val="clear" w:color="auto" w:fill="auto"/>
                  <w:noWrap/>
                  <w:vAlign w:val="center"/>
                </w:tcPr>
                <w:p w14:paraId="1ECA10A8">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61.89 </w:t>
                  </w:r>
                </w:p>
              </w:tc>
              <w:tc>
                <w:tcPr>
                  <w:tcW w:w="2681" w:type="dxa"/>
                  <w:tcBorders>
                    <w:tl2br w:val="nil"/>
                    <w:tr2bl w:val="nil"/>
                  </w:tcBorders>
                  <w:shd w:val="clear" w:color="auto" w:fill="auto"/>
                  <w:noWrap/>
                  <w:vAlign w:val="center"/>
                </w:tcPr>
                <w:p w14:paraId="0642B57F">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2.25 </w:t>
                  </w:r>
                </w:p>
              </w:tc>
            </w:tr>
            <w:tr w14:paraId="040E137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31731D0F">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FF0000"/>
                      <w:sz w:val="22"/>
                      <w:szCs w:val="22"/>
                      <w:u w:val="none"/>
                    </w:rPr>
                  </w:pPr>
                  <w:r>
                    <w:rPr>
                      <w:rFonts w:hint="eastAsia" w:asciiTheme="minorEastAsia" w:hAnsiTheme="minorEastAsia" w:eastAsiaTheme="minorEastAsia" w:cstheme="minorEastAsia"/>
                      <w:b w:val="0"/>
                      <w:bCs w:val="0"/>
                      <w:i w:val="0"/>
                      <w:iCs w:val="0"/>
                      <w:color w:val="000000"/>
                      <w:kern w:val="0"/>
                      <w:sz w:val="22"/>
                      <w:szCs w:val="22"/>
                      <w:u w:val="none"/>
                      <w:lang w:val="en-US" w:eastAsia="zh-CN" w:bidi="ar"/>
                    </w:rPr>
                    <w:t>水库水面</w:t>
                  </w:r>
                </w:p>
              </w:tc>
              <w:tc>
                <w:tcPr>
                  <w:tcW w:w="2334" w:type="dxa"/>
                  <w:tcBorders>
                    <w:tl2br w:val="nil"/>
                    <w:tr2bl w:val="nil"/>
                  </w:tcBorders>
                  <w:shd w:val="clear" w:color="auto" w:fill="auto"/>
                  <w:noWrap/>
                  <w:vAlign w:val="center"/>
                </w:tcPr>
                <w:p w14:paraId="50F7AABC">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43.87 </w:t>
                  </w:r>
                </w:p>
              </w:tc>
              <w:tc>
                <w:tcPr>
                  <w:tcW w:w="2681" w:type="dxa"/>
                  <w:tcBorders>
                    <w:tl2br w:val="nil"/>
                    <w:tr2bl w:val="nil"/>
                  </w:tcBorders>
                  <w:shd w:val="clear" w:color="auto" w:fill="auto"/>
                  <w:noWrap/>
                  <w:vAlign w:val="center"/>
                </w:tcPr>
                <w:p w14:paraId="46F006B3">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1.59 </w:t>
                  </w:r>
                </w:p>
              </w:tc>
            </w:tr>
            <w:tr w14:paraId="0A2E970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4FE76C39">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FF0000"/>
                      <w:sz w:val="22"/>
                      <w:szCs w:val="22"/>
                      <w:u w:val="none"/>
                    </w:rPr>
                  </w:pPr>
                  <w:r>
                    <w:rPr>
                      <w:rFonts w:hint="eastAsia" w:asciiTheme="minorEastAsia" w:hAnsiTheme="minorEastAsia" w:eastAsiaTheme="minorEastAsia" w:cstheme="minorEastAsia"/>
                      <w:b w:val="0"/>
                      <w:bCs w:val="0"/>
                      <w:i w:val="0"/>
                      <w:iCs w:val="0"/>
                      <w:color w:val="000000"/>
                      <w:kern w:val="0"/>
                      <w:sz w:val="22"/>
                      <w:szCs w:val="22"/>
                      <w:u w:val="none"/>
                      <w:lang w:val="en-US" w:eastAsia="zh-CN" w:bidi="ar"/>
                    </w:rPr>
                    <w:t>湖泊水面</w:t>
                  </w:r>
                </w:p>
              </w:tc>
              <w:tc>
                <w:tcPr>
                  <w:tcW w:w="2334" w:type="dxa"/>
                  <w:tcBorders>
                    <w:tl2br w:val="nil"/>
                    <w:tr2bl w:val="nil"/>
                  </w:tcBorders>
                  <w:shd w:val="clear" w:color="auto" w:fill="auto"/>
                  <w:noWrap/>
                  <w:vAlign w:val="center"/>
                </w:tcPr>
                <w:p w14:paraId="6B051E4E">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29.77 </w:t>
                  </w:r>
                </w:p>
              </w:tc>
              <w:tc>
                <w:tcPr>
                  <w:tcW w:w="2681" w:type="dxa"/>
                  <w:tcBorders>
                    <w:tl2br w:val="nil"/>
                    <w:tr2bl w:val="nil"/>
                  </w:tcBorders>
                  <w:shd w:val="clear" w:color="auto" w:fill="auto"/>
                  <w:noWrap/>
                  <w:vAlign w:val="center"/>
                </w:tcPr>
                <w:p w14:paraId="362880C6">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1.08 </w:t>
                  </w:r>
                </w:p>
              </w:tc>
            </w:tr>
            <w:tr w14:paraId="6EA1FAB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778F45F9">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FF0000"/>
                      <w:sz w:val="22"/>
                      <w:szCs w:val="22"/>
                      <w:u w:val="none"/>
                    </w:rPr>
                  </w:pPr>
                  <w:r>
                    <w:rPr>
                      <w:rFonts w:hint="eastAsia" w:asciiTheme="minorEastAsia" w:hAnsiTheme="minorEastAsia" w:eastAsiaTheme="minorEastAsia" w:cstheme="minorEastAsia"/>
                      <w:b w:val="0"/>
                      <w:bCs w:val="0"/>
                      <w:i w:val="0"/>
                      <w:iCs w:val="0"/>
                      <w:color w:val="000000"/>
                      <w:kern w:val="0"/>
                      <w:sz w:val="22"/>
                      <w:szCs w:val="22"/>
                      <w:u w:val="none"/>
                      <w:lang w:val="en-US" w:eastAsia="zh-CN" w:bidi="ar"/>
                    </w:rPr>
                    <w:t>坑塘水面</w:t>
                  </w:r>
                </w:p>
              </w:tc>
              <w:tc>
                <w:tcPr>
                  <w:tcW w:w="2334" w:type="dxa"/>
                  <w:tcBorders>
                    <w:tl2br w:val="nil"/>
                    <w:tr2bl w:val="nil"/>
                  </w:tcBorders>
                  <w:shd w:val="clear" w:color="auto" w:fill="auto"/>
                  <w:noWrap/>
                  <w:vAlign w:val="center"/>
                </w:tcPr>
                <w:p w14:paraId="0964396E">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90.50 </w:t>
                  </w:r>
                </w:p>
              </w:tc>
              <w:tc>
                <w:tcPr>
                  <w:tcW w:w="2681" w:type="dxa"/>
                  <w:tcBorders>
                    <w:tl2br w:val="nil"/>
                    <w:tr2bl w:val="nil"/>
                  </w:tcBorders>
                  <w:shd w:val="clear" w:color="auto" w:fill="auto"/>
                  <w:noWrap/>
                  <w:vAlign w:val="center"/>
                </w:tcPr>
                <w:p w14:paraId="560EEDE4">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3.29 </w:t>
                  </w:r>
                </w:p>
              </w:tc>
            </w:tr>
            <w:tr w14:paraId="2C8479B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23CE9457">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FF0000"/>
                      <w:sz w:val="22"/>
                      <w:szCs w:val="22"/>
                      <w:u w:val="none"/>
                    </w:rPr>
                  </w:pPr>
                  <w:r>
                    <w:rPr>
                      <w:rFonts w:hint="eastAsia" w:asciiTheme="minorEastAsia" w:hAnsiTheme="minorEastAsia" w:eastAsiaTheme="minorEastAsia" w:cstheme="minorEastAsia"/>
                      <w:b w:val="0"/>
                      <w:bCs w:val="0"/>
                      <w:i w:val="0"/>
                      <w:iCs w:val="0"/>
                      <w:color w:val="000000"/>
                      <w:kern w:val="0"/>
                      <w:sz w:val="22"/>
                      <w:szCs w:val="22"/>
                      <w:u w:val="none"/>
                      <w:lang w:val="en-US" w:eastAsia="zh-CN" w:bidi="ar"/>
                    </w:rPr>
                    <w:t>水工建筑用地</w:t>
                  </w:r>
                </w:p>
              </w:tc>
              <w:tc>
                <w:tcPr>
                  <w:tcW w:w="2334" w:type="dxa"/>
                  <w:tcBorders>
                    <w:tl2br w:val="nil"/>
                    <w:tr2bl w:val="nil"/>
                  </w:tcBorders>
                  <w:shd w:val="clear" w:color="auto" w:fill="auto"/>
                  <w:noWrap/>
                  <w:vAlign w:val="center"/>
                </w:tcPr>
                <w:p w14:paraId="2D21991A">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1.20 </w:t>
                  </w:r>
                </w:p>
              </w:tc>
              <w:tc>
                <w:tcPr>
                  <w:tcW w:w="2681" w:type="dxa"/>
                  <w:tcBorders>
                    <w:tl2br w:val="nil"/>
                    <w:tr2bl w:val="nil"/>
                  </w:tcBorders>
                  <w:shd w:val="clear" w:color="auto" w:fill="auto"/>
                  <w:noWrap/>
                  <w:vAlign w:val="center"/>
                </w:tcPr>
                <w:p w14:paraId="13FE49F4">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0.04 </w:t>
                  </w:r>
                </w:p>
              </w:tc>
            </w:tr>
            <w:tr w14:paraId="5C51DC2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30E3D64F">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FF0000"/>
                      <w:sz w:val="22"/>
                      <w:szCs w:val="22"/>
                      <w:u w:val="none"/>
                    </w:rPr>
                  </w:pPr>
                  <w:r>
                    <w:rPr>
                      <w:rFonts w:hint="eastAsia" w:asciiTheme="minorEastAsia" w:hAnsiTheme="minorEastAsia" w:eastAsiaTheme="minorEastAsia" w:cstheme="minorEastAsia"/>
                      <w:b w:val="0"/>
                      <w:bCs w:val="0"/>
                      <w:i w:val="0"/>
                      <w:iCs w:val="0"/>
                      <w:color w:val="000000"/>
                      <w:kern w:val="0"/>
                      <w:sz w:val="22"/>
                      <w:szCs w:val="22"/>
                      <w:u w:val="none"/>
                      <w:lang w:val="en-US" w:eastAsia="zh-CN" w:bidi="ar"/>
                    </w:rPr>
                    <w:t>12其他土地</w:t>
                  </w:r>
                </w:p>
              </w:tc>
              <w:tc>
                <w:tcPr>
                  <w:tcW w:w="2334" w:type="dxa"/>
                  <w:tcBorders>
                    <w:tl2br w:val="nil"/>
                    <w:tr2bl w:val="nil"/>
                  </w:tcBorders>
                  <w:shd w:val="clear" w:color="auto" w:fill="auto"/>
                  <w:noWrap/>
                  <w:vAlign w:val="center"/>
                </w:tcPr>
                <w:p w14:paraId="405C3531">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23.18 </w:t>
                  </w:r>
                </w:p>
              </w:tc>
              <w:tc>
                <w:tcPr>
                  <w:tcW w:w="2681" w:type="dxa"/>
                  <w:tcBorders>
                    <w:tl2br w:val="nil"/>
                    <w:tr2bl w:val="nil"/>
                  </w:tcBorders>
                  <w:shd w:val="clear" w:color="auto" w:fill="auto"/>
                  <w:noWrap/>
                  <w:vAlign w:val="center"/>
                </w:tcPr>
                <w:p w14:paraId="1B18D191">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0.84 </w:t>
                  </w:r>
                </w:p>
              </w:tc>
            </w:tr>
            <w:tr w14:paraId="73A6EEC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4E760EA3">
                  <w:pPr>
                    <w:keepNext w:val="0"/>
                    <w:keepLines w:val="0"/>
                    <w:widowControl/>
                    <w:suppressLineNumbers w:val="0"/>
                    <w:jc w:val="center"/>
                    <w:textAlignment w:val="center"/>
                    <w:rPr>
                      <w:rFonts w:hint="eastAsia" w:asciiTheme="minorEastAsia" w:hAnsiTheme="minorEastAsia" w:eastAsiaTheme="minorEastAsia" w:cstheme="minorEastAsia"/>
                      <w:b w:val="0"/>
                      <w:bCs w:val="0"/>
                      <w:i w:val="0"/>
                      <w:iCs w:val="0"/>
                      <w:color w:val="FF0000"/>
                      <w:sz w:val="22"/>
                      <w:szCs w:val="22"/>
                      <w:u w:val="none"/>
                    </w:rPr>
                  </w:pPr>
                  <w:r>
                    <w:rPr>
                      <w:rFonts w:hint="eastAsia" w:asciiTheme="minorEastAsia" w:hAnsiTheme="minorEastAsia" w:eastAsiaTheme="minorEastAsia" w:cstheme="minorEastAsia"/>
                      <w:b w:val="0"/>
                      <w:bCs w:val="0"/>
                      <w:i w:val="0"/>
                      <w:iCs w:val="0"/>
                      <w:color w:val="000000"/>
                      <w:kern w:val="0"/>
                      <w:sz w:val="22"/>
                      <w:szCs w:val="22"/>
                      <w:u w:val="none"/>
                      <w:lang w:val="en-US" w:eastAsia="zh-CN" w:bidi="ar"/>
                    </w:rPr>
                    <w:t>合计</w:t>
                  </w:r>
                </w:p>
              </w:tc>
              <w:tc>
                <w:tcPr>
                  <w:tcW w:w="2334" w:type="dxa"/>
                  <w:tcBorders>
                    <w:tl2br w:val="nil"/>
                    <w:tr2bl w:val="nil"/>
                  </w:tcBorders>
                  <w:shd w:val="clear" w:color="auto" w:fill="auto"/>
                  <w:noWrap/>
                  <w:vAlign w:val="center"/>
                </w:tcPr>
                <w:p w14:paraId="25EE164F">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2752.98 </w:t>
                  </w:r>
                </w:p>
              </w:tc>
              <w:tc>
                <w:tcPr>
                  <w:tcW w:w="2681" w:type="dxa"/>
                  <w:tcBorders>
                    <w:tl2br w:val="nil"/>
                    <w:tr2bl w:val="nil"/>
                  </w:tcBorders>
                  <w:shd w:val="clear" w:color="auto" w:fill="auto"/>
                  <w:noWrap/>
                  <w:vAlign w:val="center"/>
                </w:tcPr>
                <w:p w14:paraId="41E1319F">
                  <w:pPr>
                    <w:keepNext w:val="0"/>
                    <w:keepLines w:val="0"/>
                    <w:widowControl/>
                    <w:suppressLineNumbers w:val="0"/>
                    <w:jc w:val="center"/>
                    <w:textAlignment w:val="center"/>
                    <w:rPr>
                      <w:rFonts w:hint="eastAsia" w:ascii="宋体" w:hAnsi="宋体" w:eastAsia="宋体" w:cs="宋体"/>
                      <w:b w:val="0"/>
                      <w:bCs w:val="0"/>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100.00 </w:t>
                  </w:r>
                </w:p>
              </w:tc>
            </w:tr>
          </w:tbl>
          <w:p w14:paraId="166DE73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b w:val="0"/>
                <w:bCs w:val="0"/>
                <w:color w:val="auto"/>
                <w:sz w:val="24"/>
                <w:szCs w:val="24"/>
                <w:lang w:val="en-US" w:eastAsia="zh-CN"/>
              </w:rPr>
            </w:pPr>
            <w:r>
              <w:rPr>
                <w:rFonts w:hint="eastAsia" w:ascii="宋体" w:hAnsi="宋体" w:cs="宋体"/>
                <w:b w:val="0"/>
                <w:bCs w:val="0"/>
                <w:color w:val="auto"/>
                <w:sz w:val="24"/>
                <w:szCs w:val="24"/>
                <w:lang w:eastAsia="zh-CN"/>
              </w:rPr>
              <w:t>从以上统计可知，乔木林地面积最多，达到</w:t>
            </w:r>
            <w:r>
              <w:rPr>
                <w:rFonts w:hint="eastAsia" w:ascii="宋体" w:hAnsi="宋体" w:cs="宋体"/>
                <w:b w:val="0"/>
                <w:bCs w:val="0"/>
                <w:color w:val="auto"/>
                <w:sz w:val="24"/>
                <w:szCs w:val="24"/>
                <w:lang w:val="en-US" w:eastAsia="zh-CN"/>
              </w:rPr>
              <w:t>746.96hm</w:t>
            </w:r>
            <w:r>
              <w:rPr>
                <w:rFonts w:hint="eastAsia" w:ascii="宋体" w:hAnsi="宋体" w:cs="宋体"/>
                <w:b w:val="0"/>
                <w:bCs w:val="0"/>
                <w:color w:val="auto"/>
                <w:sz w:val="24"/>
                <w:szCs w:val="24"/>
                <w:vertAlign w:val="superscript"/>
                <w:lang w:val="en-US" w:eastAsia="zh-CN"/>
              </w:rPr>
              <w:t>2</w:t>
            </w:r>
            <w:r>
              <w:rPr>
                <w:rFonts w:hint="eastAsia" w:ascii="宋体" w:hAnsi="宋体" w:cs="宋体"/>
                <w:b w:val="0"/>
                <w:bCs w:val="0"/>
                <w:color w:val="auto"/>
                <w:sz w:val="24"/>
                <w:szCs w:val="24"/>
                <w:lang w:val="en-US" w:eastAsia="zh-CN"/>
              </w:rPr>
              <w:t>，</w:t>
            </w:r>
            <w:r>
              <w:rPr>
                <w:rFonts w:hint="eastAsia" w:ascii="宋体" w:hAnsi="宋体" w:cs="宋体"/>
                <w:b w:val="0"/>
                <w:bCs w:val="0"/>
                <w:color w:val="auto"/>
                <w:sz w:val="24"/>
                <w:szCs w:val="24"/>
                <w:lang w:eastAsia="zh-CN"/>
              </w:rPr>
              <w:t>占比</w:t>
            </w:r>
            <w:r>
              <w:rPr>
                <w:rFonts w:hint="eastAsia" w:ascii="宋体" w:hAnsi="宋体" w:cs="宋体"/>
                <w:b w:val="0"/>
                <w:bCs w:val="0"/>
                <w:color w:val="auto"/>
                <w:sz w:val="24"/>
                <w:szCs w:val="24"/>
                <w:lang w:val="en-US" w:eastAsia="zh-CN"/>
              </w:rPr>
              <w:t>27.13%；其次是住宅用地，为734.95hm</w:t>
            </w:r>
            <w:r>
              <w:rPr>
                <w:rFonts w:hint="eastAsia" w:ascii="宋体" w:hAnsi="宋体" w:cs="宋体"/>
                <w:b w:val="0"/>
                <w:bCs w:val="0"/>
                <w:color w:val="auto"/>
                <w:sz w:val="24"/>
                <w:szCs w:val="24"/>
                <w:vertAlign w:val="superscript"/>
                <w:lang w:val="en-US" w:eastAsia="zh-CN"/>
              </w:rPr>
              <w:t>2</w:t>
            </w:r>
            <w:r>
              <w:rPr>
                <w:rFonts w:hint="eastAsia" w:ascii="宋体" w:hAnsi="宋体" w:cs="宋体"/>
                <w:b w:val="0"/>
                <w:bCs w:val="0"/>
                <w:color w:val="auto"/>
                <w:sz w:val="24"/>
                <w:szCs w:val="24"/>
                <w:lang w:val="en-US" w:eastAsia="zh-CN"/>
              </w:rPr>
              <w:t>，占比26.70%；水域面积227.22hm</w:t>
            </w:r>
            <w:r>
              <w:rPr>
                <w:rFonts w:hint="eastAsia" w:ascii="宋体" w:hAnsi="宋体" w:cs="宋体"/>
                <w:b w:val="0"/>
                <w:bCs w:val="0"/>
                <w:color w:val="auto"/>
                <w:sz w:val="24"/>
                <w:szCs w:val="24"/>
                <w:vertAlign w:val="superscript"/>
                <w:lang w:val="en-US" w:eastAsia="zh-CN"/>
              </w:rPr>
              <w:t>2</w:t>
            </w:r>
            <w:r>
              <w:rPr>
                <w:rFonts w:hint="eastAsia" w:ascii="宋体" w:hAnsi="宋体" w:cs="宋体"/>
                <w:b w:val="0"/>
                <w:bCs w:val="0"/>
                <w:color w:val="auto"/>
                <w:sz w:val="24"/>
                <w:szCs w:val="24"/>
                <w:lang w:val="en-US" w:eastAsia="zh-CN"/>
              </w:rPr>
              <w:t>，占8.21%；工矿用地占比很少。（见附图10）</w:t>
            </w:r>
          </w:p>
          <w:p w14:paraId="6B4AD7EE">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cs="宋体"/>
                <w:b/>
                <w:bCs/>
                <w:color w:val="auto"/>
                <w:sz w:val="24"/>
                <w:szCs w:val="24"/>
                <w:lang w:val="en-US" w:eastAsia="zh-CN"/>
              </w:rPr>
            </w:pPr>
            <w:r>
              <w:rPr>
                <w:rFonts w:hint="eastAsia" w:ascii="宋体" w:hAnsi="宋体" w:cs="宋体"/>
                <w:b/>
                <w:bCs/>
                <w:color w:val="auto"/>
                <w:sz w:val="24"/>
                <w:szCs w:val="24"/>
                <w:lang w:val="en-US" w:eastAsia="zh-CN"/>
              </w:rPr>
              <w:t>（2）生态系统类型</w:t>
            </w:r>
          </w:p>
          <w:p w14:paraId="757DE97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评价区的生态系统类型如下：</w:t>
            </w:r>
          </w:p>
          <w:p w14:paraId="5076E00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b w:val="0"/>
                <w:bCs w:val="0"/>
                <w:color w:val="auto"/>
                <w:sz w:val="24"/>
                <w:szCs w:val="24"/>
                <w:lang w:eastAsia="zh-CN"/>
              </w:rPr>
            </w:pPr>
            <w:r>
              <w:rPr>
                <w:rFonts w:hint="default" w:ascii="Times New Roman" w:hAnsi="Times New Roman" w:eastAsia="宋体" w:cs="Times New Roman"/>
                <w:b/>
                <w:bCs/>
                <w:color w:val="auto"/>
                <w:sz w:val="24"/>
                <w:szCs w:val="24"/>
                <w:lang w:val="en-US" w:eastAsia="zh-CN"/>
              </w:rPr>
              <w:t>表3</w:t>
            </w:r>
            <w:r>
              <w:rPr>
                <w:rFonts w:hint="eastAsia" w:ascii="Times New Roman" w:hAnsi="Times New Roman" w:eastAsia="宋体" w:cs="Times New Roman"/>
                <w:b/>
                <w:bCs/>
                <w:color w:val="auto"/>
                <w:sz w:val="24"/>
                <w:szCs w:val="24"/>
                <w:lang w:val="en-US" w:eastAsia="zh-CN"/>
              </w:rPr>
              <w:t>.</w:t>
            </w:r>
            <w:r>
              <w:rPr>
                <w:rFonts w:hint="eastAsia" w:cs="Times New Roman"/>
                <w:b/>
                <w:bCs/>
                <w:color w:val="auto"/>
                <w:sz w:val="24"/>
                <w:szCs w:val="24"/>
                <w:lang w:val="en-US" w:eastAsia="zh-CN"/>
              </w:rPr>
              <w:t>3</w:t>
            </w:r>
            <w:r>
              <w:rPr>
                <w:rFonts w:hint="default" w:ascii="Times New Roman" w:hAnsi="Times New Roman" w:eastAsia="宋体" w:cs="Times New Roman"/>
                <w:b/>
                <w:bCs/>
                <w:color w:val="auto"/>
                <w:sz w:val="24"/>
                <w:szCs w:val="24"/>
                <w:lang w:val="en-US" w:eastAsia="zh-CN"/>
              </w:rPr>
              <w:t xml:space="preserve">  </w:t>
            </w:r>
            <w:r>
              <w:rPr>
                <w:rFonts w:hint="eastAsia" w:cs="Times New Roman"/>
                <w:b/>
                <w:bCs/>
                <w:color w:val="auto"/>
                <w:sz w:val="24"/>
                <w:szCs w:val="24"/>
                <w:lang w:val="en-US" w:eastAsia="zh-CN"/>
              </w:rPr>
              <w:t>评价区生态系统类型</w:t>
            </w:r>
            <w:r>
              <w:rPr>
                <w:rFonts w:hint="default" w:ascii="Times New Roman" w:hAnsi="Times New Roman" w:eastAsia="宋体" w:cs="Times New Roman"/>
                <w:b/>
                <w:bCs/>
                <w:color w:val="auto"/>
                <w:sz w:val="24"/>
                <w:szCs w:val="24"/>
                <w:lang w:val="en-US" w:eastAsia="zh-CN"/>
              </w:rPr>
              <w:t>表</w:t>
            </w:r>
          </w:p>
          <w:tbl>
            <w:tblPr>
              <w:tblStyle w:val="9"/>
              <w:tblW w:w="8259"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3244"/>
              <w:gridCol w:w="2334"/>
              <w:gridCol w:w="2681"/>
            </w:tblGrid>
            <w:tr w14:paraId="39E596E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294E962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类别</w:t>
                  </w:r>
                </w:p>
              </w:tc>
              <w:tc>
                <w:tcPr>
                  <w:tcW w:w="2334" w:type="dxa"/>
                  <w:tcBorders>
                    <w:tl2br w:val="nil"/>
                    <w:tr2bl w:val="nil"/>
                  </w:tcBorders>
                  <w:shd w:val="clear" w:color="auto" w:fill="auto"/>
                  <w:noWrap/>
                  <w:vAlign w:val="center"/>
                </w:tcPr>
                <w:p w14:paraId="67EA4B9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面积（hm</w:t>
                  </w:r>
                  <w:r>
                    <w:rPr>
                      <w:rFonts w:hint="eastAsia" w:ascii="宋体" w:hAnsi="宋体" w:eastAsia="宋体" w:cs="宋体"/>
                      <w:color w:val="auto"/>
                      <w:sz w:val="22"/>
                      <w:szCs w:val="22"/>
                      <w:lang w:val="en-US" w:eastAsia="zh-CN" w:bidi="ar"/>
                    </w:rPr>
                    <w:t>²</w:t>
                  </w:r>
                  <w:r>
                    <w:rPr>
                      <w:rFonts w:hint="eastAsia" w:ascii="宋体" w:hAnsi="宋体" w:eastAsia="宋体" w:cs="宋体"/>
                      <w:i w:val="0"/>
                      <w:iCs w:val="0"/>
                      <w:color w:val="auto"/>
                      <w:kern w:val="0"/>
                      <w:sz w:val="22"/>
                      <w:szCs w:val="22"/>
                      <w:u w:val="none"/>
                      <w:lang w:val="en-US" w:eastAsia="zh-CN" w:bidi="ar"/>
                    </w:rPr>
                    <w:t>)</w:t>
                  </w:r>
                </w:p>
              </w:tc>
              <w:tc>
                <w:tcPr>
                  <w:tcW w:w="2681" w:type="dxa"/>
                  <w:tcBorders>
                    <w:tl2br w:val="nil"/>
                    <w:tr2bl w:val="nil"/>
                  </w:tcBorders>
                  <w:shd w:val="clear" w:color="auto" w:fill="auto"/>
                  <w:noWrap/>
                  <w:vAlign w:val="center"/>
                </w:tcPr>
                <w:p w14:paraId="0C10347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面积占比（%）</w:t>
                  </w:r>
                </w:p>
              </w:tc>
            </w:tr>
            <w:tr w14:paraId="6588A25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382A918C">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森林生态系统</w:t>
                  </w:r>
                </w:p>
              </w:tc>
              <w:tc>
                <w:tcPr>
                  <w:tcW w:w="2334" w:type="dxa"/>
                  <w:tcBorders>
                    <w:tl2br w:val="nil"/>
                    <w:tr2bl w:val="nil"/>
                  </w:tcBorders>
                  <w:shd w:val="clear" w:color="auto" w:fill="auto"/>
                  <w:noWrap/>
                  <w:vAlign w:val="center"/>
                </w:tcPr>
                <w:p w14:paraId="0DA8D183">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784.35</w:t>
                  </w:r>
                </w:p>
              </w:tc>
              <w:tc>
                <w:tcPr>
                  <w:tcW w:w="2681" w:type="dxa"/>
                  <w:tcBorders>
                    <w:tl2br w:val="nil"/>
                    <w:tr2bl w:val="nil"/>
                  </w:tcBorders>
                  <w:shd w:val="clear" w:color="auto" w:fill="auto"/>
                  <w:noWrap/>
                  <w:vAlign w:val="center"/>
                </w:tcPr>
                <w:p w14:paraId="447F8508">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28.49</w:t>
                  </w:r>
                </w:p>
              </w:tc>
            </w:tr>
            <w:tr w14:paraId="26987F8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64B2F7D7">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灌丛生态系统</w:t>
                  </w:r>
                </w:p>
              </w:tc>
              <w:tc>
                <w:tcPr>
                  <w:tcW w:w="2334" w:type="dxa"/>
                  <w:tcBorders>
                    <w:tl2br w:val="nil"/>
                    <w:tr2bl w:val="nil"/>
                  </w:tcBorders>
                  <w:shd w:val="clear" w:color="auto" w:fill="auto"/>
                  <w:noWrap/>
                  <w:vAlign w:val="center"/>
                </w:tcPr>
                <w:p w14:paraId="03AA603D">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41.04</w:t>
                  </w:r>
                </w:p>
              </w:tc>
              <w:tc>
                <w:tcPr>
                  <w:tcW w:w="2681" w:type="dxa"/>
                  <w:tcBorders>
                    <w:tl2br w:val="nil"/>
                    <w:tr2bl w:val="nil"/>
                  </w:tcBorders>
                  <w:shd w:val="clear" w:color="auto" w:fill="auto"/>
                  <w:noWrap/>
                  <w:vAlign w:val="center"/>
                </w:tcPr>
                <w:p w14:paraId="3AAF88E2">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1.49</w:t>
                  </w:r>
                </w:p>
              </w:tc>
            </w:tr>
            <w:tr w14:paraId="2AAE678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0F77F4BD">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草地生态系统</w:t>
                  </w:r>
                </w:p>
              </w:tc>
              <w:tc>
                <w:tcPr>
                  <w:tcW w:w="2334" w:type="dxa"/>
                  <w:tcBorders>
                    <w:tl2br w:val="nil"/>
                    <w:tr2bl w:val="nil"/>
                  </w:tcBorders>
                  <w:shd w:val="clear" w:color="auto" w:fill="auto"/>
                  <w:noWrap/>
                  <w:vAlign w:val="center"/>
                </w:tcPr>
                <w:p w14:paraId="4FFB5B78">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37.98</w:t>
                  </w:r>
                </w:p>
              </w:tc>
              <w:tc>
                <w:tcPr>
                  <w:tcW w:w="2681" w:type="dxa"/>
                  <w:tcBorders>
                    <w:tl2br w:val="nil"/>
                    <w:tr2bl w:val="nil"/>
                  </w:tcBorders>
                  <w:shd w:val="clear" w:color="auto" w:fill="auto"/>
                  <w:noWrap/>
                  <w:vAlign w:val="center"/>
                </w:tcPr>
                <w:p w14:paraId="7B61126B">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1.38</w:t>
                  </w:r>
                </w:p>
              </w:tc>
            </w:tr>
            <w:tr w14:paraId="6573680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4145D26D">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湿地生态系统</w:t>
                  </w:r>
                </w:p>
              </w:tc>
              <w:tc>
                <w:tcPr>
                  <w:tcW w:w="2334" w:type="dxa"/>
                  <w:tcBorders>
                    <w:tl2br w:val="nil"/>
                    <w:tr2bl w:val="nil"/>
                  </w:tcBorders>
                  <w:shd w:val="clear" w:color="auto" w:fill="auto"/>
                  <w:noWrap/>
                  <w:vAlign w:val="center"/>
                </w:tcPr>
                <w:p w14:paraId="5D3ED162">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226.03</w:t>
                  </w:r>
                </w:p>
              </w:tc>
              <w:tc>
                <w:tcPr>
                  <w:tcW w:w="2681" w:type="dxa"/>
                  <w:tcBorders>
                    <w:tl2br w:val="nil"/>
                    <w:tr2bl w:val="nil"/>
                  </w:tcBorders>
                  <w:shd w:val="clear" w:color="auto" w:fill="auto"/>
                  <w:noWrap/>
                  <w:vAlign w:val="center"/>
                </w:tcPr>
                <w:p w14:paraId="69168BB3">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8.21</w:t>
                  </w:r>
                </w:p>
              </w:tc>
            </w:tr>
            <w:tr w14:paraId="639EEAB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6D87063C">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农田生态系统</w:t>
                  </w:r>
                </w:p>
              </w:tc>
              <w:tc>
                <w:tcPr>
                  <w:tcW w:w="2334" w:type="dxa"/>
                  <w:tcBorders>
                    <w:tl2br w:val="nil"/>
                    <w:tr2bl w:val="nil"/>
                  </w:tcBorders>
                  <w:shd w:val="clear" w:color="auto" w:fill="auto"/>
                  <w:noWrap/>
                  <w:vAlign w:val="center"/>
                </w:tcPr>
                <w:p w14:paraId="488A9F43">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543.70</w:t>
                  </w:r>
                </w:p>
              </w:tc>
              <w:tc>
                <w:tcPr>
                  <w:tcW w:w="2681" w:type="dxa"/>
                  <w:tcBorders>
                    <w:tl2br w:val="nil"/>
                    <w:tr2bl w:val="nil"/>
                  </w:tcBorders>
                  <w:shd w:val="clear" w:color="auto" w:fill="auto"/>
                  <w:noWrap/>
                  <w:vAlign w:val="center"/>
                </w:tcPr>
                <w:p w14:paraId="063720ED">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19.75</w:t>
                  </w:r>
                </w:p>
              </w:tc>
            </w:tr>
            <w:tr w14:paraId="6F101BE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06A3721B">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城镇生态系统</w:t>
                  </w:r>
                </w:p>
              </w:tc>
              <w:tc>
                <w:tcPr>
                  <w:tcW w:w="2334" w:type="dxa"/>
                  <w:tcBorders>
                    <w:tl2br w:val="nil"/>
                    <w:tr2bl w:val="nil"/>
                  </w:tcBorders>
                  <w:shd w:val="clear" w:color="auto" w:fill="auto"/>
                  <w:noWrap/>
                  <w:vAlign w:val="center"/>
                </w:tcPr>
                <w:p w14:paraId="77D691A0">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1103.82</w:t>
                  </w:r>
                </w:p>
              </w:tc>
              <w:tc>
                <w:tcPr>
                  <w:tcW w:w="2681" w:type="dxa"/>
                  <w:tcBorders>
                    <w:tl2br w:val="nil"/>
                    <w:tr2bl w:val="nil"/>
                  </w:tcBorders>
                  <w:shd w:val="clear" w:color="auto" w:fill="auto"/>
                  <w:noWrap/>
                  <w:vAlign w:val="center"/>
                </w:tcPr>
                <w:p w14:paraId="4B22AEFF">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000000"/>
                      <w:kern w:val="0"/>
                      <w:sz w:val="22"/>
                      <w:szCs w:val="22"/>
                      <w:u w:val="none"/>
                      <w:lang w:val="en-US" w:eastAsia="zh-CN" w:bidi="ar"/>
                    </w:rPr>
                    <w:t>40.10</w:t>
                  </w:r>
                </w:p>
              </w:tc>
            </w:tr>
            <w:tr w14:paraId="44D2957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43B34C81">
                  <w:pPr>
                    <w:keepNext w:val="0"/>
                    <w:keepLines w:val="0"/>
                    <w:widowControl/>
                    <w:suppressLineNumbers w:val="0"/>
                    <w:jc w:val="center"/>
                    <w:textAlignment w:val="center"/>
                    <w:rPr>
                      <w:rFonts w:hint="eastAsia" w:ascii="宋体" w:hAnsi="宋体" w:eastAsia="宋体" w:cs="宋体"/>
                      <w:i w:val="0"/>
                      <w:iCs w:val="0"/>
                      <w:color w:val="FF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其他生态系统</w:t>
                  </w:r>
                </w:p>
              </w:tc>
              <w:tc>
                <w:tcPr>
                  <w:tcW w:w="2334" w:type="dxa"/>
                  <w:tcBorders>
                    <w:tl2br w:val="nil"/>
                    <w:tr2bl w:val="nil"/>
                  </w:tcBorders>
                  <w:shd w:val="clear" w:color="auto" w:fill="auto"/>
                  <w:noWrap/>
                  <w:vAlign w:val="center"/>
                </w:tcPr>
                <w:p w14:paraId="5D0D79D0">
                  <w:pPr>
                    <w:keepNext w:val="0"/>
                    <w:keepLines w:val="0"/>
                    <w:widowControl/>
                    <w:suppressLineNumbers w:val="0"/>
                    <w:jc w:val="center"/>
                    <w:textAlignment w:val="center"/>
                    <w:rPr>
                      <w:rFonts w:hint="eastAsia" w:ascii="宋体" w:hAnsi="宋体" w:eastAsia="宋体" w:cs="宋体"/>
                      <w:i w:val="0"/>
                      <w:iCs w:val="0"/>
                      <w:color w:val="FF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16.06</w:t>
                  </w:r>
                </w:p>
              </w:tc>
              <w:tc>
                <w:tcPr>
                  <w:tcW w:w="2681" w:type="dxa"/>
                  <w:tcBorders>
                    <w:tl2br w:val="nil"/>
                    <w:tr2bl w:val="nil"/>
                  </w:tcBorders>
                  <w:shd w:val="clear" w:color="auto" w:fill="auto"/>
                  <w:noWrap/>
                  <w:vAlign w:val="center"/>
                </w:tcPr>
                <w:p w14:paraId="6C2BA526">
                  <w:pPr>
                    <w:keepNext w:val="0"/>
                    <w:keepLines w:val="0"/>
                    <w:widowControl/>
                    <w:suppressLineNumbers w:val="0"/>
                    <w:jc w:val="center"/>
                    <w:textAlignment w:val="center"/>
                    <w:rPr>
                      <w:rFonts w:hint="eastAsia" w:ascii="宋体" w:hAnsi="宋体" w:eastAsia="宋体" w:cs="宋体"/>
                      <w:i w:val="0"/>
                      <w:iCs w:val="0"/>
                      <w:color w:val="FF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0.58</w:t>
                  </w:r>
                </w:p>
              </w:tc>
            </w:tr>
            <w:tr w14:paraId="0E77E23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44" w:type="dxa"/>
                  <w:tcBorders>
                    <w:tl2br w:val="nil"/>
                    <w:tr2bl w:val="nil"/>
                  </w:tcBorders>
                  <w:shd w:val="clear" w:color="auto" w:fill="auto"/>
                  <w:noWrap/>
                  <w:vAlign w:val="center"/>
                </w:tcPr>
                <w:p w14:paraId="1EF539D7">
                  <w:pPr>
                    <w:keepNext w:val="0"/>
                    <w:keepLines w:val="0"/>
                    <w:widowControl/>
                    <w:suppressLineNumbers w:val="0"/>
                    <w:jc w:val="center"/>
                    <w:textAlignment w:val="center"/>
                    <w:rPr>
                      <w:rFonts w:hint="eastAsia" w:ascii="宋体" w:hAnsi="宋体" w:eastAsia="宋体" w:cs="宋体"/>
                      <w:i w:val="0"/>
                      <w:iCs w:val="0"/>
                      <w:color w:val="FF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合计</w:t>
                  </w:r>
                </w:p>
              </w:tc>
              <w:tc>
                <w:tcPr>
                  <w:tcW w:w="2334" w:type="dxa"/>
                  <w:tcBorders>
                    <w:tl2br w:val="nil"/>
                    <w:tr2bl w:val="nil"/>
                  </w:tcBorders>
                  <w:shd w:val="clear" w:color="auto" w:fill="auto"/>
                  <w:noWrap/>
                  <w:vAlign w:val="center"/>
                </w:tcPr>
                <w:p w14:paraId="47F6D19F">
                  <w:pPr>
                    <w:keepNext w:val="0"/>
                    <w:keepLines w:val="0"/>
                    <w:widowControl/>
                    <w:suppressLineNumbers w:val="0"/>
                    <w:jc w:val="center"/>
                    <w:textAlignment w:val="center"/>
                    <w:rPr>
                      <w:rFonts w:hint="eastAsia" w:ascii="宋体" w:hAnsi="宋体" w:eastAsia="宋体" w:cs="宋体"/>
                      <w:i w:val="0"/>
                      <w:iCs w:val="0"/>
                      <w:color w:val="FF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2752.98</w:t>
                  </w:r>
                </w:p>
              </w:tc>
              <w:tc>
                <w:tcPr>
                  <w:tcW w:w="2681" w:type="dxa"/>
                  <w:tcBorders>
                    <w:tl2br w:val="nil"/>
                    <w:tr2bl w:val="nil"/>
                  </w:tcBorders>
                  <w:shd w:val="clear" w:color="auto" w:fill="auto"/>
                  <w:noWrap/>
                  <w:vAlign w:val="center"/>
                </w:tcPr>
                <w:p w14:paraId="234B1D1E">
                  <w:pPr>
                    <w:keepNext w:val="0"/>
                    <w:keepLines w:val="0"/>
                    <w:widowControl/>
                    <w:suppressLineNumbers w:val="0"/>
                    <w:jc w:val="center"/>
                    <w:textAlignment w:val="center"/>
                    <w:rPr>
                      <w:rFonts w:hint="eastAsia" w:ascii="宋体" w:hAnsi="宋体" w:eastAsia="宋体" w:cs="宋体"/>
                      <w:i w:val="0"/>
                      <w:iCs w:val="0"/>
                      <w:color w:val="FF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100.00</w:t>
                  </w:r>
                </w:p>
              </w:tc>
            </w:tr>
          </w:tbl>
          <w:p w14:paraId="0950131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b w:val="0"/>
                <w:bCs w:val="0"/>
                <w:color w:val="auto"/>
                <w:sz w:val="24"/>
                <w:szCs w:val="24"/>
                <w:lang w:val="en-US" w:eastAsia="zh-CN"/>
              </w:rPr>
            </w:pPr>
            <w:r>
              <w:rPr>
                <w:rFonts w:hint="eastAsia" w:ascii="宋体" w:hAnsi="宋体" w:cs="宋体"/>
                <w:b w:val="0"/>
                <w:bCs w:val="0"/>
                <w:color w:val="auto"/>
                <w:sz w:val="24"/>
                <w:szCs w:val="24"/>
                <w:lang w:eastAsia="zh-CN"/>
              </w:rPr>
              <w:t>从以上统计可知，评价区的城镇生态面积占比最大，为</w:t>
            </w:r>
            <w:r>
              <w:rPr>
                <w:rFonts w:hint="eastAsia" w:ascii="宋体" w:hAnsi="宋体" w:cs="宋体"/>
                <w:b w:val="0"/>
                <w:bCs w:val="0"/>
                <w:color w:val="auto"/>
                <w:sz w:val="24"/>
                <w:szCs w:val="24"/>
                <w:lang w:val="en-US" w:eastAsia="zh-CN"/>
              </w:rPr>
              <w:t>40.10%；其次是森林地面积占28.49%；农田生态系统占比为19.75%；灌草丛与草地面积相当，分别1.49%和1.38%。（见附图11）</w:t>
            </w:r>
          </w:p>
          <w:p w14:paraId="4490F56D">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w:t>
            </w:r>
            <w:r>
              <w:rPr>
                <w:rFonts w:hint="eastAsia" w:ascii="宋体" w:hAnsi="宋体" w:cs="宋体"/>
                <w:b/>
                <w:bCs/>
                <w:color w:val="auto"/>
                <w:sz w:val="24"/>
                <w:szCs w:val="24"/>
                <w:lang w:val="en-US" w:eastAsia="zh-CN"/>
              </w:rPr>
              <w:t>3</w:t>
            </w:r>
            <w:r>
              <w:rPr>
                <w:rFonts w:hint="eastAsia" w:ascii="宋体" w:hAnsi="宋体" w:eastAsia="宋体" w:cs="宋体"/>
                <w:b/>
                <w:bCs/>
                <w:color w:val="auto"/>
                <w:sz w:val="24"/>
                <w:szCs w:val="24"/>
                <w:lang w:val="en-US" w:eastAsia="zh-CN"/>
              </w:rPr>
              <w:t>）植物</w:t>
            </w:r>
          </w:p>
          <w:p w14:paraId="2C3F2AB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t>评价区位于</w:t>
            </w:r>
            <w:r>
              <w:rPr>
                <w:rFonts w:hint="eastAsia" w:ascii="宋体" w:hAnsi="宋体" w:cs="宋体"/>
                <w:b w:val="0"/>
                <w:bCs w:val="0"/>
                <w:color w:val="auto"/>
                <w:sz w:val="24"/>
                <w:szCs w:val="24"/>
                <w:lang w:eastAsia="zh-CN"/>
              </w:rPr>
              <w:t>岳阳</w:t>
            </w:r>
            <w:r>
              <w:rPr>
                <w:rFonts w:hint="eastAsia" w:ascii="宋体" w:hAnsi="宋体" w:eastAsia="宋体" w:cs="宋体"/>
                <w:b w:val="0"/>
                <w:bCs w:val="0"/>
                <w:color w:val="auto"/>
                <w:sz w:val="24"/>
                <w:szCs w:val="24"/>
              </w:rPr>
              <w:t>市，根据《中国种子植物区系地理》（吴征镒等，2011年），植物区系属于湖南北部中亚热带常绿阔叶林地带—湘北低山丘陵植被小区。</w:t>
            </w:r>
          </w:p>
          <w:p w14:paraId="1A119B3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t>①植物区划</w:t>
            </w:r>
          </w:p>
          <w:p w14:paraId="4271E31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t>根据《中国植被》、《植被生态学》的植被分区，评价区中亚热带阔叶林带区，同时具备中亚热带向北亚热带过度的明显特征，植被种类繁多，区系成分复杂。由于地理条件悬殊和水热条件不同，植被分布也存在着明显的地区性差异，东部中山区从山麓到山顶，由常绿阔叶林向落叶阔叶林过度的地带性明显，中部丘陵及环湖丘岗区以针叶林为主，平原区以栽培植被为主。</w:t>
            </w:r>
          </w:p>
          <w:p w14:paraId="4E35894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t>②植被类型</w:t>
            </w:r>
          </w:p>
          <w:p w14:paraId="7088B9E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eastAsia="zh-CN"/>
              </w:rPr>
            </w:pPr>
            <w:r>
              <w:rPr>
                <w:rFonts w:hint="eastAsia" w:ascii="宋体" w:hAnsi="宋体" w:eastAsia="宋体" w:cs="宋体"/>
                <w:b w:val="0"/>
                <w:bCs w:val="0"/>
                <w:color w:val="auto"/>
                <w:sz w:val="24"/>
                <w:szCs w:val="24"/>
              </w:rPr>
              <w:t>根据《中国植被》确定的植物群落学—生态学分类原则，采用植被型组、植被型、群落等基本单位，参照《中国植被》的分类系统，在对现存植被进行考察的基础上，结合区域内现有植被中群落组成的建群种与优势种的外貌，以及群落的环境生态与地理分布特征等分析，</w:t>
            </w:r>
            <w:r>
              <w:rPr>
                <w:rFonts w:hint="eastAsia" w:ascii="宋体" w:hAnsi="宋体" w:cs="宋体"/>
                <w:b w:val="0"/>
                <w:bCs w:val="0"/>
                <w:color w:val="auto"/>
                <w:sz w:val="24"/>
                <w:szCs w:val="24"/>
                <w:lang w:eastAsia="zh-CN"/>
              </w:rPr>
              <w:t>如下表所示：</w:t>
            </w:r>
          </w:p>
          <w:p w14:paraId="690EBAA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b w:val="0"/>
                <w:bCs w:val="0"/>
                <w:color w:val="auto"/>
                <w:sz w:val="24"/>
                <w:szCs w:val="24"/>
                <w:lang w:eastAsia="zh-CN"/>
              </w:rPr>
            </w:pPr>
            <w:r>
              <w:rPr>
                <w:rFonts w:hint="default" w:ascii="Times New Roman" w:hAnsi="Times New Roman" w:eastAsia="宋体" w:cs="Times New Roman"/>
                <w:b/>
                <w:bCs/>
                <w:color w:val="auto"/>
                <w:sz w:val="24"/>
                <w:szCs w:val="24"/>
                <w:lang w:val="en-US" w:eastAsia="zh-CN"/>
              </w:rPr>
              <w:t>表3</w:t>
            </w:r>
            <w:r>
              <w:rPr>
                <w:rFonts w:hint="eastAsia" w:ascii="Times New Roman" w:hAnsi="Times New Roman" w:eastAsia="宋体" w:cs="Times New Roman"/>
                <w:b/>
                <w:bCs/>
                <w:color w:val="auto"/>
                <w:sz w:val="24"/>
                <w:szCs w:val="24"/>
                <w:lang w:val="en-US" w:eastAsia="zh-CN"/>
              </w:rPr>
              <w:t>.</w:t>
            </w:r>
            <w:r>
              <w:rPr>
                <w:rFonts w:hint="eastAsia" w:cs="Times New Roman"/>
                <w:b/>
                <w:bCs/>
                <w:color w:val="auto"/>
                <w:sz w:val="24"/>
                <w:szCs w:val="24"/>
                <w:lang w:val="en-US" w:eastAsia="zh-CN"/>
              </w:rPr>
              <w:t>5</w:t>
            </w:r>
            <w:r>
              <w:rPr>
                <w:rFonts w:hint="default" w:ascii="Times New Roman" w:hAnsi="Times New Roman" w:eastAsia="宋体" w:cs="Times New Roman"/>
                <w:b/>
                <w:bCs/>
                <w:color w:val="auto"/>
                <w:sz w:val="24"/>
                <w:szCs w:val="24"/>
                <w:lang w:val="en-US" w:eastAsia="zh-CN"/>
              </w:rPr>
              <w:t xml:space="preserve">  </w:t>
            </w:r>
            <w:r>
              <w:rPr>
                <w:rFonts w:hint="eastAsia" w:cs="Times New Roman"/>
                <w:b/>
                <w:bCs/>
                <w:color w:val="auto"/>
                <w:sz w:val="24"/>
                <w:szCs w:val="24"/>
                <w:lang w:val="en-US" w:eastAsia="zh-CN"/>
              </w:rPr>
              <w:t>评价区植被类型统计</w:t>
            </w:r>
            <w:r>
              <w:rPr>
                <w:rFonts w:hint="default" w:ascii="Times New Roman" w:hAnsi="Times New Roman" w:eastAsia="宋体" w:cs="Times New Roman"/>
                <w:b/>
                <w:bCs/>
                <w:color w:val="auto"/>
                <w:sz w:val="24"/>
                <w:szCs w:val="24"/>
                <w:lang w:val="en-US" w:eastAsia="zh-CN"/>
              </w:rPr>
              <w:t>表</w:t>
            </w:r>
          </w:p>
          <w:tbl>
            <w:tblPr>
              <w:tblStyle w:val="9"/>
              <w:tblW w:w="8259"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4020"/>
              <w:gridCol w:w="1558"/>
              <w:gridCol w:w="2681"/>
            </w:tblGrid>
            <w:tr w14:paraId="30561E7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4020" w:type="dxa"/>
                  <w:tcBorders>
                    <w:tl2br w:val="nil"/>
                    <w:tr2bl w:val="nil"/>
                  </w:tcBorders>
                  <w:shd w:val="clear" w:color="auto" w:fill="auto"/>
                  <w:noWrap/>
                  <w:vAlign w:val="center"/>
                </w:tcPr>
                <w:p w14:paraId="1239529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2"/>
                      <w:szCs w:val="22"/>
                      <w:u w:val="none"/>
                    </w:rPr>
                  </w:pPr>
                  <w:r>
                    <w:rPr>
                      <w:rFonts w:hint="eastAsia" w:asciiTheme="minorEastAsia" w:hAnsiTheme="minorEastAsia" w:eastAsiaTheme="minorEastAsia" w:cstheme="minorEastAsia"/>
                      <w:i w:val="0"/>
                      <w:iCs w:val="0"/>
                      <w:color w:val="auto"/>
                      <w:kern w:val="0"/>
                      <w:sz w:val="22"/>
                      <w:szCs w:val="22"/>
                      <w:u w:val="none"/>
                      <w:lang w:val="en-US" w:eastAsia="zh-CN" w:bidi="ar"/>
                    </w:rPr>
                    <w:t>类别</w:t>
                  </w:r>
                </w:p>
              </w:tc>
              <w:tc>
                <w:tcPr>
                  <w:tcW w:w="1558" w:type="dxa"/>
                  <w:tcBorders>
                    <w:tl2br w:val="nil"/>
                    <w:tr2bl w:val="nil"/>
                  </w:tcBorders>
                  <w:shd w:val="clear" w:color="auto" w:fill="auto"/>
                  <w:noWrap/>
                  <w:vAlign w:val="center"/>
                </w:tcPr>
                <w:p w14:paraId="3C8C38A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2"/>
                      <w:szCs w:val="22"/>
                      <w:u w:val="none"/>
                    </w:rPr>
                  </w:pPr>
                  <w:r>
                    <w:rPr>
                      <w:rFonts w:hint="eastAsia" w:asciiTheme="minorEastAsia" w:hAnsiTheme="minorEastAsia" w:eastAsiaTheme="minorEastAsia" w:cstheme="minorEastAsia"/>
                      <w:i w:val="0"/>
                      <w:iCs w:val="0"/>
                      <w:color w:val="auto"/>
                      <w:kern w:val="0"/>
                      <w:sz w:val="22"/>
                      <w:szCs w:val="22"/>
                      <w:u w:val="none"/>
                      <w:lang w:val="en-US" w:eastAsia="zh-CN" w:bidi="ar"/>
                    </w:rPr>
                    <w:t>面积（hm</w:t>
                  </w:r>
                  <w:r>
                    <w:rPr>
                      <w:rFonts w:hint="eastAsia" w:asciiTheme="minorEastAsia" w:hAnsiTheme="minorEastAsia" w:eastAsiaTheme="minorEastAsia" w:cstheme="minorEastAsia"/>
                      <w:color w:val="auto"/>
                      <w:sz w:val="22"/>
                      <w:szCs w:val="22"/>
                      <w:lang w:val="en-US" w:eastAsia="zh-CN" w:bidi="ar"/>
                    </w:rPr>
                    <w:t>²</w:t>
                  </w:r>
                  <w:r>
                    <w:rPr>
                      <w:rFonts w:hint="eastAsia" w:asciiTheme="minorEastAsia" w:hAnsiTheme="minorEastAsia" w:eastAsiaTheme="minorEastAsia" w:cstheme="minorEastAsia"/>
                      <w:i w:val="0"/>
                      <w:iCs w:val="0"/>
                      <w:color w:val="auto"/>
                      <w:kern w:val="0"/>
                      <w:sz w:val="22"/>
                      <w:szCs w:val="22"/>
                      <w:u w:val="none"/>
                      <w:lang w:val="en-US" w:eastAsia="zh-CN" w:bidi="ar"/>
                    </w:rPr>
                    <w:t>)</w:t>
                  </w:r>
                </w:p>
              </w:tc>
              <w:tc>
                <w:tcPr>
                  <w:tcW w:w="2681" w:type="dxa"/>
                  <w:tcBorders>
                    <w:tl2br w:val="nil"/>
                    <w:tr2bl w:val="nil"/>
                  </w:tcBorders>
                  <w:shd w:val="clear" w:color="auto" w:fill="auto"/>
                  <w:noWrap/>
                  <w:vAlign w:val="center"/>
                </w:tcPr>
                <w:p w14:paraId="288EE77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auto"/>
                      <w:sz w:val="22"/>
                      <w:szCs w:val="22"/>
                      <w:u w:val="none"/>
                    </w:rPr>
                  </w:pPr>
                  <w:r>
                    <w:rPr>
                      <w:rFonts w:hint="eastAsia" w:asciiTheme="minorEastAsia" w:hAnsiTheme="minorEastAsia" w:eastAsiaTheme="minorEastAsia" w:cstheme="minorEastAsia"/>
                      <w:i w:val="0"/>
                      <w:iCs w:val="0"/>
                      <w:color w:val="auto"/>
                      <w:kern w:val="0"/>
                      <w:sz w:val="22"/>
                      <w:szCs w:val="22"/>
                      <w:u w:val="none"/>
                      <w:lang w:val="en-US" w:eastAsia="zh-CN" w:bidi="ar"/>
                    </w:rPr>
                    <w:t>面积占比（%）</w:t>
                  </w:r>
                </w:p>
              </w:tc>
            </w:tr>
            <w:tr w14:paraId="7E56B34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4020" w:type="dxa"/>
                  <w:tcBorders>
                    <w:tl2br w:val="nil"/>
                    <w:tr2bl w:val="nil"/>
                  </w:tcBorders>
                  <w:shd w:val="clear" w:color="auto" w:fill="auto"/>
                  <w:noWrap/>
                  <w:vAlign w:val="center"/>
                </w:tcPr>
                <w:p w14:paraId="1F54B2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Theme="minorEastAsia" w:hAnsiTheme="minorEastAsia" w:eastAsiaTheme="minorEastAsia" w:cstheme="minorEastAsia"/>
                      <w:i w:val="0"/>
                      <w:iCs w:val="0"/>
                      <w:color w:val="000000"/>
                      <w:kern w:val="0"/>
                      <w:sz w:val="22"/>
                      <w:szCs w:val="22"/>
                      <w:u w:val="none"/>
                      <w:lang w:val="en-US" w:eastAsia="zh-CN" w:bidi="ar"/>
                    </w:rPr>
                    <w:t>农田植被</w:t>
                  </w:r>
                </w:p>
              </w:tc>
              <w:tc>
                <w:tcPr>
                  <w:tcW w:w="1558" w:type="dxa"/>
                  <w:tcBorders>
                    <w:tl2br w:val="nil"/>
                    <w:tr2bl w:val="nil"/>
                  </w:tcBorders>
                  <w:shd w:val="clear" w:color="auto" w:fill="auto"/>
                  <w:noWrap/>
                  <w:vAlign w:val="center"/>
                </w:tcPr>
                <w:p w14:paraId="326A9E4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487.08</w:t>
                  </w:r>
                </w:p>
              </w:tc>
              <w:tc>
                <w:tcPr>
                  <w:tcW w:w="2681" w:type="dxa"/>
                  <w:tcBorders>
                    <w:tl2br w:val="nil"/>
                    <w:tr2bl w:val="nil"/>
                  </w:tcBorders>
                  <w:shd w:val="clear" w:color="auto" w:fill="auto"/>
                  <w:noWrap/>
                  <w:vAlign w:val="center"/>
                </w:tcPr>
                <w:p w14:paraId="0534AEA8">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17.69</w:t>
                  </w:r>
                </w:p>
              </w:tc>
            </w:tr>
            <w:tr w14:paraId="49F9CE6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4020" w:type="dxa"/>
                  <w:tcBorders>
                    <w:tl2br w:val="nil"/>
                    <w:tr2bl w:val="nil"/>
                  </w:tcBorders>
                  <w:shd w:val="clear" w:color="auto" w:fill="auto"/>
                  <w:noWrap/>
                  <w:vAlign w:val="center"/>
                </w:tcPr>
                <w:p w14:paraId="45F616E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Theme="minorEastAsia" w:hAnsiTheme="minorEastAsia" w:eastAsiaTheme="minorEastAsia" w:cstheme="minorEastAsia"/>
                      <w:i w:val="0"/>
                      <w:iCs w:val="0"/>
                      <w:color w:val="000000"/>
                      <w:kern w:val="0"/>
                      <w:sz w:val="22"/>
                      <w:szCs w:val="22"/>
                      <w:u w:val="none"/>
                      <w:lang w:val="en-US" w:eastAsia="zh-CN" w:bidi="ar"/>
                    </w:rPr>
                    <w:t>园地</w:t>
                  </w:r>
                </w:p>
              </w:tc>
              <w:tc>
                <w:tcPr>
                  <w:tcW w:w="1558" w:type="dxa"/>
                  <w:tcBorders>
                    <w:tl2br w:val="nil"/>
                    <w:tr2bl w:val="nil"/>
                  </w:tcBorders>
                  <w:shd w:val="clear" w:color="auto" w:fill="auto"/>
                  <w:noWrap/>
                  <w:vAlign w:val="center"/>
                </w:tcPr>
                <w:p w14:paraId="0AA3B59A">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56.62</w:t>
                  </w:r>
                </w:p>
              </w:tc>
              <w:tc>
                <w:tcPr>
                  <w:tcW w:w="2681" w:type="dxa"/>
                  <w:tcBorders>
                    <w:tl2br w:val="nil"/>
                    <w:tr2bl w:val="nil"/>
                  </w:tcBorders>
                  <w:shd w:val="clear" w:color="auto" w:fill="auto"/>
                  <w:noWrap/>
                  <w:vAlign w:val="center"/>
                </w:tcPr>
                <w:p w14:paraId="6C12446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2.06</w:t>
                  </w:r>
                </w:p>
              </w:tc>
            </w:tr>
            <w:tr w14:paraId="4A4FAF1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4020" w:type="dxa"/>
                  <w:tcBorders>
                    <w:tl2br w:val="nil"/>
                    <w:tr2bl w:val="nil"/>
                  </w:tcBorders>
                  <w:shd w:val="clear" w:color="auto" w:fill="auto"/>
                  <w:noWrap/>
                  <w:vAlign w:val="center"/>
                </w:tcPr>
                <w:p w14:paraId="510416A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Theme="minorEastAsia" w:hAnsiTheme="minorEastAsia" w:eastAsiaTheme="minorEastAsia" w:cstheme="minorEastAsia"/>
                      <w:i w:val="0"/>
                      <w:iCs w:val="0"/>
                      <w:color w:val="000000"/>
                      <w:kern w:val="0"/>
                      <w:sz w:val="22"/>
                      <w:szCs w:val="22"/>
                      <w:u w:val="none"/>
                      <w:lang w:val="en-US" w:eastAsia="zh-CN" w:bidi="ar"/>
                    </w:rPr>
                    <w:t>樟树、苦槠、青冈、木荷</w:t>
                  </w:r>
                </w:p>
              </w:tc>
              <w:tc>
                <w:tcPr>
                  <w:tcW w:w="1558" w:type="dxa"/>
                  <w:tcBorders>
                    <w:tl2br w:val="nil"/>
                    <w:tr2bl w:val="nil"/>
                  </w:tcBorders>
                  <w:shd w:val="clear" w:color="auto" w:fill="auto"/>
                  <w:noWrap/>
                  <w:vAlign w:val="center"/>
                </w:tcPr>
                <w:p w14:paraId="5C42C50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133.90</w:t>
                  </w:r>
                </w:p>
              </w:tc>
              <w:tc>
                <w:tcPr>
                  <w:tcW w:w="2681" w:type="dxa"/>
                  <w:tcBorders>
                    <w:tl2br w:val="nil"/>
                    <w:tr2bl w:val="nil"/>
                  </w:tcBorders>
                  <w:shd w:val="clear" w:color="auto" w:fill="auto"/>
                  <w:noWrap/>
                  <w:vAlign w:val="center"/>
                </w:tcPr>
                <w:p w14:paraId="14D0103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4.86</w:t>
                  </w:r>
                </w:p>
              </w:tc>
            </w:tr>
            <w:tr w14:paraId="7EE3DE2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4020" w:type="dxa"/>
                  <w:tcBorders>
                    <w:tl2br w:val="nil"/>
                    <w:tr2bl w:val="nil"/>
                  </w:tcBorders>
                  <w:shd w:val="clear" w:color="auto" w:fill="auto"/>
                  <w:noWrap/>
                  <w:vAlign w:val="center"/>
                </w:tcPr>
                <w:p w14:paraId="76639B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Theme="minorEastAsia" w:hAnsiTheme="minorEastAsia" w:eastAsiaTheme="minorEastAsia" w:cstheme="minorEastAsia"/>
                      <w:i w:val="0"/>
                      <w:iCs w:val="0"/>
                      <w:color w:val="000000"/>
                      <w:kern w:val="0"/>
                      <w:sz w:val="22"/>
                      <w:szCs w:val="22"/>
                      <w:u w:val="none"/>
                      <w:lang w:val="en-US" w:eastAsia="zh-CN" w:bidi="ar"/>
                    </w:rPr>
                    <w:t>樟树、悬铃木、桂花、广玉兰</w:t>
                  </w:r>
                </w:p>
              </w:tc>
              <w:tc>
                <w:tcPr>
                  <w:tcW w:w="1558" w:type="dxa"/>
                  <w:tcBorders>
                    <w:tl2br w:val="nil"/>
                    <w:tr2bl w:val="nil"/>
                  </w:tcBorders>
                  <w:shd w:val="clear" w:color="auto" w:fill="auto"/>
                  <w:noWrap/>
                  <w:vAlign w:val="center"/>
                </w:tcPr>
                <w:p w14:paraId="43BCEFD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43.30</w:t>
                  </w:r>
                </w:p>
              </w:tc>
              <w:tc>
                <w:tcPr>
                  <w:tcW w:w="2681" w:type="dxa"/>
                  <w:tcBorders>
                    <w:tl2br w:val="nil"/>
                    <w:tr2bl w:val="nil"/>
                  </w:tcBorders>
                  <w:shd w:val="clear" w:color="auto" w:fill="auto"/>
                  <w:noWrap/>
                  <w:vAlign w:val="center"/>
                </w:tcPr>
                <w:p w14:paraId="1C50B0E3">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1.57</w:t>
                  </w:r>
                </w:p>
              </w:tc>
            </w:tr>
            <w:tr w14:paraId="0DD597C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4020" w:type="dxa"/>
                  <w:tcBorders>
                    <w:tl2br w:val="nil"/>
                    <w:tr2bl w:val="nil"/>
                  </w:tcBorders>
                  <w:shd w:val="clear" w:color="auto" w:fill="auto"/>
                  <w:noWrap/>
                  <w:vAlign w:val="center"/>
                </w:tcPr>
                <w:p w14:paraId="1E48D211">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Theme="minorEastAsia" w:hAnsiTheme="minorEastAsia" w:eastAsiaTheme="minorEastAsia" w:cstheme="minorEastAsia"/>
                      <w:i w:val="0"/>
                      <w:iCs w:val="0"/>
                      <w:color w:val="000000"/>
                      <w:kern w:val="0"/>
                      <w:sz w:val="22"/>
                      <w:szCs w:val="22"/>
                      <w:u w:val="none"/>
                      <w:lang w:val="en-US" w:eastAsia="zh-CN" w:bidi="ar"/>
                    </w:rPr>
                    <w:t>旱柳、枫杨、朴树、杨树</w:t>
                  </w:r>
                </w:p>
              </w:tc>
              <w:tc>
                <w:tcPr>
                  <w:tcW w:w="1558" w:type="dxa"/>
                  <w:tcBorders>
                    <w:tl2br w:val="nil"/>
                    <w:tr2bl w:val="nil"/>
                  </w:tcBorders>
                  <w:shd w:val="clear" w:color="auto" w:fill="auto"/>
                  <w:noWrap/>
                  <w:vAlign w:val="center"/>
                </w:tcPr>
                <w:p w14:paraId="395DB79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56.36</w:t>
                  </w:r>
                </w:p>
              </w:tc>
              <w:tc>
                <w:tcPr>
                  <w:tcW w:w="2681" w:type="dxa"/>
                  <w:tcBorders>
                    <w:tl2br w:val="nil"/>
                    <w:tr2bl w:val="nil"/>
                  </w:tcBorders>
                  <w:shd w:val="clear" w:color="auto" w:fill="auto"/>
                  <w:noWrap/>
                  <w:vAlign w:val="center"/>
                </w:tcPr>
                <w:p w14:paraId="429B96D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2.05</w:t>
                  </w:r>
                </w:p>
              </w:tc>
            </w:tr>
            <w:tr w14:paraId="1A6AC52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4020" w:type="dxa"/>
                  <w:tcBorders>
                    <w:tl2br w:val="nil"/>
                    <w:tr2bl w:val="nil"/>
                  </w:tcBorders>
                  <w:shd w:val="clear" w:color="auto" w:fill="auto"/>
                  <w:noWrap/>
                  <w:vAlign w:val="center"/>
                </w:tcPr>
                <w:p w14:paraId="70EC0FE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Theme="minorEastAsia" w:hAnsiTheme="minorEastAsia" w:eastAsiaTheme="minorEastAsia" w:cstheme="minorEastAsia"/>
                      <w:i w:val="0"/>
                      <w:iCs w:val="0"/>
                      <w:color w:val="000000"/>
                      <w:kern w:val="0"/>
                      <w:sz w:val="22"/>
                      <w:szCs w:val="22"/>
                      <w:u w:val="none"/>
                      <w:lang w:val="en-US" w:eastAsia="zh-CN" w:bidi="ar"/>
                    </w:rPr>
                    <w:t>檵木、杜鹃、山莓等灌木草丛</w:t>
                  </w:r>
                </w:p>
              </w:tc>
              <w:tc>
                <w:tcPr>
                  <w:tcW w:w="1558" w:type="dxa"/>
                  <w:tcBorders>
                    <w:tl2br w:val="nil"/>
                    <w:tr2bl w:val="nil"/>
                  </w:tcBorders>
                  <w:shd w:val="clear" w:color="auto" w:fill="auto"/>
                  <w:noWrap/>
                  <w:vAlign w:val="center"/>
                </w:tcPr>
                <w:p w14:paraId="09C7E72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41.04</w:t>
                  </w:r>
                </w:p>
              </w:tc>
              <w:tc>
                <w:tcPr>
                  <w:tcW w:w="2681" w:type="dxa"/>
                  <w:tcBorders>
                    <w:tl2br w:val="nil"/>
                    <w:tr2bl w:val="nil"/>
                  </w:tcBorders>
                  <w:shd w:val="clear" w:color="auto" w:fill="auto"/>
                  <w:noWrap/>
                  <w:vAlign w:val="center"/>
                </w:tcPr>
                <w:p w14:paraId="5B37BEF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1.49</w:t>
                  </w:r>
                </w:p>
              </w:tc>
            </w:tr>
            <w:tr w14:paraId="320145A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4020" w:type="dxa"/>
                  <w:tcBorders>
                    <w:tl2br w:val="nil"/>
                    <w:tr2bl w:val="nil"/>
                  </w:tcBorders>
                  <w:shd w:val="clear" w:color="auto" w:fill="auto"/>
                  <w:noWrap/>
                  <w:vAlign w:val="center"/>
                </w:tcPr>
                <w:p w14:paraId="1947611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Theme="minorEastAsia" w:hAnsiTheme="minorEastAsia" w:eastAsiaTheme="minorEastAsia" w:cstheme="minorEastAsia"/>
                      <w:i w:val="0"/>
                      <w:iCs w:val="0"/>
                      <w:color w:val="000000"/>
                      <w:kern w:val="0"/>
                      <w:sz w:val="22"/>
                      <w:szCs w:val="22"/>
                      <w:u w:val="none"/>
                      <w:lang w:val="en-US" w:eastAsia="zh-CN" w:bidi="ar"/>
                    </w:rPr>
                    <w:t>五节芒、芒萁等杂草草丛</w:t>
                  </w:r>
                </w:p>
              </w:tc>
              <w:tc>
                <w:tcPr>
                  <w:tcW w:w="1558" w:type="dxa"/>
                  <w:tcBorders>
                    <w:tl2br w:val="nil"/>
                    <w:tr2bl w:val="nil"/>
                  </w:tcBorders>
                  <w:shd w:val="clear" w:color="auto" w:fill="auto"/>
                  <w:noWrap/>
                  <w:vAlign w:val="center"/>
                </w:tcPr>
                <w:p w14:paraId="0970DB7B">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37.98</w:t>
                  </w:r>
                </w:p>
              </w:tc>
              <w:tc>
                <w:tcPr>
                  <w:tcW w:w="2681" w:type="dxa"/>
                  <w:tcBorders>
                    <w:tl2br w:val="nil"/>
                    <w:tr2bl w:val="nil"/>
                  </w:tcBorders>
                  <w:shd w:val="clear" w:color="auto" w:fill="auto"/>
                  <w:noWrap/>
                  <w:vAlign w:val="center"/>
                </w:tcPr>
                <w:p w14:paraId="7E8C8BB7">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1.38</w:t>
                  </w:r>
                </w:p>
              </w:tc>
            </w:tr>
            <w:tr w14:paraId="010F8F6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4020" w:type="dxa"/>
                  <w:tcBorders>
                    <w:tl2br w:val="nil"/>
                    <w:tr2bl w:val="nil"/>
                  </w:tcBorders>
                  <w:shd w:val="clear" w:color="auto" w:fill="auto"/>
                  <w:noWrap/>
                  <w:vAlign w:val="center"/>
                </w:tcPr>
                <w:p w14:paraId="49BE34D9">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Theme="minorEastAsia" w:hAnsiTheme="minorEastAsia" w:eastAsiaTheme="minorEastAsia" w:cstheme="minorEastAsia"/>
                      <w:i w:val="0"/>
                      <w:iCs w:val="0"/>
                      <w:color w:val="000000"/>
                      <w:kern w:val="0"/>
                      <w:sz w:val="22"/>
                      <w:szCs w:val="22"/>
                      <w:u w:val="none"/>
                      <w:lang w:val="en-US" w:eastAsia="zh-CN" w:bidi="ar"/>
                    </w:rPr>
                    <w:t>马尾松、杉木林等</w:t>
                  </w:r>
                </w:p>
              </w:tc>
              <w:tc>
                <w:tcPr>
                  <w:tcW w:w="1558" w:type="dxa"/>
                  <w:tcBorders>
                    <w:tl2br w:val="nil"/>
                    <w:tr2bl w:val="nil"/>
                  </w:tcBorders>
                  <w:shd w:val="clear" w:color="auto" w:fill="auto"/>
                  <w:noWrap/>
                  <w:vAlign w:val="center"/>
                </w:tcPr>
                <w:p w14:paraId="01CD405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554.91</w:t>
                  </w:r>
                </w:p>
              </w:tc>
              <w:tc>
                <w:tcPr>
                  <w:tcW w:w="2681" w:type="dxa"/>
                  <w:tcBorders>
                    <w:tl2br w:val="nil"/>
                    <w:tr2bl w:val="nil"/>
                  </w:tcBorders>
                  <w:shd w:val="clear" w:color="auto" w:fill="auto"/>
                  <w:noWrap/>
                  <w:vAlign w:val="center"/>
                </w:tcPr>
                <w:p w14:paraId="05EF8AE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20.16</w:t>
                  </w:r>
                </w:p>
              </w:tc>
            </w:tr>
            <w:tr w14:paraId="201DF58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4020" w:type="dxa"/>
                  <w:tcBorders>
                    <w:tl2br w:val="nil"/>
                    <w:tr2bl w:val="nil"/>
                  </w:tcBorders>
                  <w:shd w:val="clear" w:color="auto" w:fill="auto"/>
                  <w:noWrap/>
                  <w:vAlign w:val="center"/>
                </w:tcPr>
                <w:p w14:paraId="7E603B42">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Theme="minorEastAsia" w:hAnsiTheme="minorEastAsia" w:eastAsiaTheme="minorEastAsia" w:cstheme="minorEastAsia"/>
                      <w:i w:val="0"/>
                      <w:iCs w:val="0"/>
                      <w:color w:val="000000"/>
                      <w:kern w:val="0"/>
                      <w:sz w:val="22"/>
                      <w:szCs w:val="22"/>
                      <w:u w:val="none"/>
                      <w:lang w:val="en-US" w:eastAsia="zh-CN" w:bidi="ar"/>
                    </w:rPr>
                    <w:t>毛竹林</w:t>
                  </w:r>
                </w:p>
              </w:tc>
              <w:tc>
                <w:tcPr>
                  <w:tcW w:w="1558" w:type="dxa"/>
                  <w:tcBorders>
                    <w:tl2br w:val="nil"/>
                    <w:tr2bl w:val="nil"/>
                  </w:tcBorders>
                  <w:shd w:val="clear" w:color="auto" w:fill="auto"/>
                  <w:noWrap/>
                  <w:vAlign w:val="center"/>
                </w:tcPr>
                <w:p w14:paraId="568C300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35.18</w:t>
                  </w:r>
                </w:p>
              </w:tc>
              <w:tc>
                <w:tcPr>
                  <w:tcW w:w="2681" w:type="dxa"/>
                  <w:tcBorders>
                    <w:tl2br w:val="nil"/>
                    <w:tr2bl w:val="nil"/>
                  </w:tcBorders>
                  <w:shd w:val="clear" w:color="auto" w:fill="auto"/>
                  <w:noWrap/>
                  <w:vAlign w:val="center"/>
                </w:tcPr>
                <w:p w14:paraId="7A3F421E">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1.28</w:t>
                  </w:r>
                </w:p>
              </w:tc>
            </w:tr>
            <w:tr w14:paraId="07BEC2D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4020" w:type="dxa"/>
                  <w:tcBorders>
                    <w:tl2br w:val="nil"/>
                    <w:tr2bl w:val="nil"/>
                  </w:tcBorders>
                  <w:shd w:val="clear" w:color="auto" w:fill="auto"/>
                  <w:noWrap/>
                  <w:vAlign w:val="center"/>
                </w:tcPr>
                <w:p w14:paraId="4C2392C5">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Theme="minorEastAsia" w:hAnsiTheme="minorEastAsia" w:eastAsiaTheme="minorEastAsia" w:cstheme="minorEastAsia"/>
                      <w:i w:val="0"/>
                      <w:iCs w:val="0"/>
                      <w:color w:val="000000"/>
                      <w:kern w:val="0"/>
                      <w:sz w:val="22"/>
                      <w:szCs w:val="22"/>
                      <w:u w:val="none"/>
                      <w:lang w:val="en-US" w:eastAsia="zh-CN" w:bidi="ar"/>
                    </w:rPr>
                    <w:t>无植被区</w:t>
                  </w:r>
                </w:p>
              </w:tc>
              <w:tc>
                <w:tcPr>
                  <w:tcW w:w="1558" w:type="dxa"/>
                  <w:tcBorders>
                    <w:tl2br w:val="nil"/>
                    <w:tr2bl w:val="nil"/>
                  </w:tcBorders>
                  <w:shd w:val="clear" w:color="auto" w:fill="auto"/>
                  <w:noWrap/>
                  <w:vAlign w:val="center"/>
                </w:tcPr>
                <w:p w14:paraId="100A541C">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1080.59</w:t>
                  </w:r>
                </w:p>
              </w:tc>
              <w:tc>
                <w:tcPr>
                  <w:tcW w:w="2681" w:type="dxa"/>
                  <w:tcBorders>
                    <w:tl2br w:val="nil"/>
                    <w:tr2bl w:val="nil"/>
                  </w:tcBorders>
                  <w:shd w:val="clear" w:color="auto" w:fill="auto"/>
                  <w:noWrap/>
                  <w:vAlign w:val="center"/>
                </w:tcPr>
                <w:p w14:paraId="5CD01CD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39.25</w:t>
                  </w:r>
                </w:p>
              </w:tc>
            </w:tr>
            <w:tr w14:paraId="0B81AEC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4020" w:type="dxa"/>
                  <w:tcBorders>
                    <w:tl2br w:val="nil"/>
                    <w:tr2bl w:val="nil"/>
                  </w:tcBorders>
                  <w:shd w:val="clear" w:color="auto" w:fill="auto"/>
                  <w:noWrap/>
                  <w:vAlign w:val="center"/>
                </w:tcPr>
                <w:p w14:paraId="5311D66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Theme="minorEastAsia" w:hAnsiTheme="minorEastAsia" w:eastAsiaTheme="minorEastAsia" w:cstheme="minorEastAsia"/>
                      <w:i w:val="0"/>
                      <w:iCs w:val="0"/>
                      <w:color w:val="000000"/>
                      <w:kern w:val="0"/>
                      <w:sz w:val="22"/>
                      <w:szCs w:val="22"/>
                      <w:u w:val="none"/>
                      <w:lang w:val="en-US" w:eastAsia="zh-CN" w:bidi="ar"/>
                    </w:rPr>
                    <w:t>水体</w:t>
                  </w:r>
                </w:p>
              </w:tc>
              <w:tc>
                <w:tcPr>
                  <w:tcW w:w="1558" w:type="dxa"/>
                  <w:tcBorders>
                    <w:tl2br w:val="nil"/>
                    <w:tr2bl w:val="nil"/>
                  </w:tcBorders>
                  <w:shd w:val="clear" w:color="auto" w:fill="auto"/>
                  <w:noWrap/>
                  <w:vAlign w:val="center"/>
                </w:tcPr>
                <w:p w14:paraId="41F6780F">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226.03</w:t>
                  </w:r>
                </w:p>
              </w:tc>
              <w:tc>
                <w:tcPr>
                  <w:tcW w:w="2681" w:type="dxa"/>
                  <w:tcBorders>
                    <w:tl2br w:val="nil"/>
                    <w:tr2bl w:val="nil"/>
                  </w:tcBorders>
                  <w:shd w:val="clear" w:color="auto" w:fill="auto"/>
                  <w:noWrap/>
                  <w:vAlign w:val="center"/>
                </w:tcPr>
                <w:p w14:paraId="7DC0F350">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8.21</w:t>
                  </w:r>
                </w:p>
              </w:tc>
            </w:tr>
            <w:tr w14:paraId="67F66E6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4020" w:type="dxa"/>
                  <w:tcBorders>
                    <w:tl2br w:val="nil"/>
                    <w:tr2bl w:val="nil"/>
                  </w:tcBorders>
                  <w:shd w:val="clear" w:color="auto" w:fill="auto"/>
                  <w:noWrap/>
                  <w:vAlign w:val="center"/>
                </w:tcPr>
                <w:p w14:paraId="37583574">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Theme="minorEastAsia" w:hAnsiTheme="minorEastAsia" w:eastAsiaTheme="minorEastAsia" w:cstheme="minorEastAsia"/>
                      <w:i w:val="0"/>
                      <w:iCs w:val="0"/>
                      <w:color w:val="000000"/>
                      <w:kern w:val="0"/>
                      <w:sz w:val="22"/>
                      <w:szCs w:val="22"/>
                      <w:u w:val="none"/>
                      <w:lang w:val="en-US" w:eastAsia="zh-CN" w:bidi="ar"/>
                    </w:rPr>
                    <w:t>合计</w:t>
                  </w:r>
                </w:p>
              </w:tc>
              <w:tc>
                <w:tcPr>
                  <w:tcW w:w="1558" w:type="dxa"/>
                  <w:tcBorders>
                    <w:tl2br w:val="nil"/>
                    <w:tr2bl w:val="nil"/>
                  </w:tcBorders>
                  <w:shd w:val="clear" w:color="auto" w:fill="auto"/>
                  <w:noWrap/>
                  <w:vAlign w:val="center"/>
                </w:tcPr>
                <w:p w14:paraId="40026636">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2752.98</w:t>
                  </w:r>
                </w:p>
              </w:tc>
              <w:tc>
                <w:tcPr>
                  <w:tcW w:w="2681" w:type="dxa"/>
                  <w:tcBorders>
                    <w:tl2br w:val="nil"/>
                    <w:tr2bl w:val="nil"/>
                  </w:tcBorders>
                  <w:shd w:val="clear" w:color="auto" w:fill="auto"/>
                  <w:noWrap/>
                  <w:vAlign w:val="center"/>
                </w:tcPr>
                <w:p w14:paraId="3596DB5D">
                  <w:pPr>
                    <w:keepNext w:val="0"/>
                    <w:keepLines w:val="0"/>
                    <w:widowControl/>
                    <w:suppressLineNumbers w:val="0"/>
                    <w:jc w:val="center"/>
                    <w:textAlignment w:val="center"/>
                    <w:rPr>
                      <w:rFonts w:hint="eastAsia" w:asciiTheme="minorEastAsia" w:hAnsiTheme="minorEastAsia" w:eastAsiaTheme="minorEastAsia" w:cstheme="minorEastAsia"/>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100.00</w:t>
                  </w:r>
                </w:p>
              </w:tc>
            </w:tr>
          </w:tbl>
          <w:p w14:paraId="490A111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FF0000"/>
                <w:sz w:val="24"/>
                <w:szCs w:val="24"/>
                <w:lang w:val="en-US" w:eastAsia="zh-CN"/>
              </w:rPr>
            </w:pPr>
          </w:p>
          <w:p w14:paraId="70BB7DC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cs="宋体"/>
                <w:b w:val="0"/>
                <w:bCs w:val="0"/>
                <w:color w:val="auto"/>
                <w:sz w:val="24"/>
                <w:szCs w:val="24"/>
                <w:lang w:val="en-US" w:eastAsia="zh-CN"/>
              </w:rPr>
            </w:pPr>
            <w:r>
              <w:rPr>
                <w:rFonts w:hint="eastAsia" w:ascii="宋体" w:hAnsi="宋体" w:cs="宋体"/>
                <w:b w:val="0"/>
                <w:bCs w:val="0"/>
                <w:color w:val="auto"/>
                <w:sz w:val="24"/>
                <w:szCs w:val="24"/>
                <w:lang w:eastAsia="zh-CN"/>
              </w:rPr>
              <w:t>从以上统计可知，评价区的无植被区面积比最大，为</w:t>
            </w:r>
            <w:r>
              <w:rPr>
                <w:rFonts w:hint="eastAsia" w:ascii="宋体" w:hAnsi="宋体" w:cs="宋体"/>
                <w:b w:val="0"/>
                <w:bCs w:val="0"/>
                <w:color w:val="auto"/>
                <w:sz w:val="24"/>
                <w:szCs w:val="24"/>
                <w:lang w:val="en-US" w:eastAsia="zh-CN"/>
              </w:rPr>
              <w:t>39.25%；其次是林地面积占20.16%；农田面积为17.69%和14.65%；水体面积占比为8.21%。（见附图12）</w:t>
            </w:r>
          </w:p>
          <w:p w14:paraId="2FFE688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t>③主要自然植被类型描述</w:t>
            </w:r>
          </w:p>
          <w:p w14:paraId="1E5768A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t>根据现场对评价区内植被的实地调查，利用典型样方法，参照《中国植被》、《植被生态学》的分类原则</w:t>
            </w:r>
            <w:r>
              <w:rPr>
                <w:rFonts w:hint="eastAsia" w:ascii="宋体" w:hAnsi="宋体" w:cs="宋体"/>
                <w:b w:val="0"/>
                <w:bCs w:val="0"/>
                <w:color w:val="auto"/>
                <w:sz w:val="24"/>
                <w:szCs w:val="24"/>
                <w:lang w:eastAsia="zh-CN"/>
              </w:rPr>
              <w:t>，</w:t>
            </w:r>
            <w:r>
              <w:rPr>
                <w:rFonts w:hint="eastAsia" w:ascii="宋体" w:hAnsi="宋体" w:eastAsia="宋体" w:cs="宋体"/>
                <w:b w:val="0"/>
                <w:bCs w:val="0"/>
                <w:color w:val="auto"/>
                <w:sz w:val="24"/>
                <w:szCs w:val="24"/>
              </w:rPr>
              <w:t>对评价区植被中主要植物群落的分布及特征进行简要的描述。</w:t>
            </w:r>
          </w:p>
          <w:p w14:paraId="3DA0DD4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t>1）针阔叶混交林 针阔叶混交林是温带最常见的森林类型。根据现场调查，评价区内的针阔叶混交林主要有马尾松和</w:t>
            </w:r>
            <w:r>
              <w:rPr>
                <w:rFonts w:hint="eastAsia" w:ascii="宋体" w:hAnsi="宋体" w:cs="宋体"/>
                <w:b w:val="0"/>
                <w:bCs w:val="0"/>
                <w:color w:val="auto"/>
                <w:sz w:val="24"/>
                <w:szCs w:val="24"/>
                <w:lang w:eastAsia="zh-CN"/>
              </w:rPr>
              <w:t>杉木</w:t>
            </w:r>
            <w:r>
              <w:rPr>
                <w:rFonts w:hint="eastAsia" w:ascii="宋体" w:hAnsi="宋体" w:eastAsia="宋体" w:cs="宋体"/>
                <w:b w:val="0"/>
                <w:bCs w:val="0"/>
                <w:color w:val="auto"/>
                <w:sz w:val="24"/>
                <w:szCs w:val="24"/>
              </w:rPr>
              <w:t>林。</w:t>
            </w:r>
          </w:p>
          <w:p w14:paraId="02BDD0B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t>2）灌丛</w:t>
            </w:r>
          </w:p>
          <w:p w14:paraId="54C9B9B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lang w:eastAsia="zh-CN"/>
              </w:rPr>
            </w:pPr>
            <w:r>
              <w:rPr>
                <w:rFonts w:hint="eastAsia" w:ascii="宋体" w:hAnsi="宋体" w:eastAsia="宋体" w:cs="宋体"/>
                <w:b w:val="0"/>
                <w:bCs w:val="0"/>
                <w:color w:val="auto"/>
                <w:sz w:val="24"/>
                <w:szCs w:val="24"/>
              </w:rPr>
              <w:t>灌丛包括一切以灌木占优势种类所组成的植被类型。群落高度一般在5m以下，盖度大于</w:t>
            </w:r>
            <w:r>
              <w:rPr>
                <w:rFonts w:hint="eastAsia" w:ascii="宋体" w:hAnsi="宋体" w:cs="宋体"/>
                <w:b w:val="0"/>
                <w:bCs w:val="0"/>
                <w:color w:val="auto"/>
                <w:sz w:val="24"/>
                <w:szCs w:val="24"/>
                <w:lang w:val="en-US" w:eastAsia="zh-CN"/>
              </w:rPr>
              <w:t>2</w:t>
            </w:r>
            <w:r>
              <w:rPr>
                <w:rFonts w:hint="eastAsia" w:ascii="宋体" w:hAnsi="宋体" w:eastAsia="宋体" w:cs="宋体"/>
                <w:b w:val="0"/>
                <w:bCs w:val="0"/>
                <w:color w:val="auto"/>
                <w:sz w:val="24"/>
                <w:szCs w:val="24"/>
              </w:rPr>
              <w:t>0%～40%。它和森林的区别不仅高度不同，更主要的是灌丛建群种多为簇生的灌木生活型。草丛是指以中生或旱中生多年生草本植物为主要建群种，但其中散生少数灌木的植物群落。根据现场调查，评价区</w:t>
            </w:r>
            <w:r>
              <w:rPr>
                <w:rFonts w:hint="eastAsia" w:ascii="宋体" w:hAnsi="宋体" w:cs="宋体"/>
                <w:b w:val="0"/>
                <w:bCs w:val="0"/>
                <w:color w:val="auto"/>
                <w:sz w:val="24"/>
                <w:szCs w:val="24"/>
                <w:lang w:eastAsia="zh-CN"/>
              </w:rPr>
              <w:t>为城区，</w:t>
            </w:r>
            <w:r>
              <w:rPr>
                <w:rFonts w:hint="eastAsia" w:ascii="宋体" w:hAnsi="宋体" w:eastAsia="宋体" w:cs="宋体"/>
                <w:b w:val="0"/>
                <w:bCs w:val="0"/>
                <w:color w:val="auto"/>
                <w:sz w:val="24"/>
                <w:szCs w:val="24"/>
              </w:rPr>
              <w:t>灌丛多呈斑块状分布，</w:t>
            </w:r>
            <w:r>
              <w:rPr>
                <w:rFonts w:hint="eastAsia" w:ascii="宋体" w:hAnsi="宋体" w:cs="宋体"/>
                <w:b w:val="0"/>
                <w:bCs w:val="0"/>
                <w:color w:val="auto"/>
                <w:sz w:val="24"/>
                <w:szCs w:val="24"/>
                <w:lang w:eastAsia="zh-CN"/>
              </w:rPr>
              <w:t>本地以檵木、杜鹃、山莓等为主的灌丛。</w:t>
            </w:r>
          </w:p>
          <w:p w14:paraId="3F91F96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t>3）草丛</w:t>
            </w:r>
          </w:p>
          <w:p w14:paraId="35E382D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t>评价区内人为活动频繁，草丛分布广泛，根据现场调查，评价区草丛多呈斑块状分布于村落附近、路边等地，草丛是评价区植被的重要组成部分，典型的</w:t>
            </w:r>
            <w:r>
              <w:rPr>
                <w:rFonts w:hint="eastAsia" w:ascii="宋体" w:hAnsi="宋体" w:eastAsia="宋体" w:cs="宋体"/>
                <w:b w:val="0"/>
                <w:bCs w:val="0"/>
                <w:color w:val="auto"/>
                <w:sz w:val="24"/>
                <w:szCs w:val="24"/>
                <w:lang w:eastAsia="zh-CN"/>
              </w:rPr>
              <w:t>有</w:t>
            </w:r>
            <w:r>
              <w:rPr>
                <w:rFonts w:hint="eastAsia" w:ascii="宋体" w:hAnsi="宋体" w:cs="宋体"/>
                <w:b w:val="0"/>
                <w:bCs w:val="0"/>
                <w:color w:val="auto"/>
                <w:sz w:val="24"/>
                <w:szCs w:val="24"/>
                <w:lang w:eastAsia="zh-CN"/>
              </w:rPr>
              <w:t>以</w:t>
            </w:r>
            <w:r>
              <w:rPr>
                <w:rFonts w:hint="eastAsia" w:ascii="宋体" w:hAnsi="宋体" w:eastAsia="宋体" w:cs="宋体"/>
                <w:color w:val="auto"/>
                <w:sz w:val="24"/>
                <w:szCs w:val="24"/>
                <w:highlight w:val="none"/>
                <w:lang w:eastAsia="zh-CN"/>
              </w:rPr>
              <w:t>刺芒野古草</w:t>
            </w:r>
            <w:r>
              <w:rPr>
                <w:rFonts w:hint="eastAsia" w:ascii="宋体" w:hAnsi="宋体" w:cs="宋体"/>
                <w:color w:val="auto"/>
                <w:sz w:val="24"/>
                <w:szCs w:val="24"/>
                <w:highlight w:val="none"/>
                <w:lang w:eastAsia="zh-CN"/>
              </w:rPr>
              <w:t>为主要的</w:t>
            </w:r>
            <w:r>
              <w:rPr>
                <w:rFonts w:hint="eastAsia" w:ascii="宋体" w:hAnsi="宋体" w:eastAsia="宋体" w:cs="宋体"/>
                <w:b w:val="0"/>
                <w:bCs w:val="0"/>
                <w:color w:val="auto"/>
                <w:sz w:val="24"/>
                <w:szCs w:val="24"/>
              </w:rPr>
              <w:t>草丛群系</w:t>
            </w:r>
            <w:r>
              <w:rPr>
                <w:rFonts w:hint="eastAsia" w:ascii="宋体" w:hAnsi="宋体" w:cs="宋体"/>
                <w:color w:val="auto"/>
                <w:sz w:val="24"/>
                <w:szCs w:val="24"/>
                <w:highlight w:val="none"/>
                <w:lang w:eastAsia="zh-CN"/>
              </w:rPr>
              <w:t>，和其它</w:t>
            </w:r>
            <w:r>
              <w:rPr>
                <w:rFonts w:hint="eastAsia" w:ascii="宋体" w:hAnsi="宋体" w:eastAsia="宋体" w:cs="宋体"/>
                <w:color w:val="auto"/>
                <w:sz w:val="24"/>
                <w:szCs w:val="24"/>
                <w:highlight w:val="none"/>
                <w:lang w:eastAsia="zh-CN"/>
              </w:rPr>
              <w:t>杂草</w:t>
            </w:r>
            <w:r>
              <w:rPr>
                <w:rFonts w:hint="eastAsia" w:ascii="宋体" w:hAnsi="宋体" w:eastAsia="宋体" w:cs="宋体"/>
                <w:color w:val="auto"/>
                <w:sz w:val="24"/>
                <w:szCs w:val="24"/>
                <w:lang w:eastAsia="zh-CN"/>
              </w:rPr>
              <w:t>草丛等</w:t>
            </w:r>
            <w:r>
              <w:rPr>
                <w:rFonts w:hint="eastAsia" w:ascii="宋体" w:hAnsi="宋体" w:eastAsia="宋体" w:cs="宋体"/>
                <w:b w:val="0"/>
                <w:bCs w:val="0"/>
                <w:color w:val="auto"/>
                <w:sz w:val="24"/>
                <w:szCs w:val="24"/>
              </w:rPr>
              <w:t>。</w:t>
            </w:r>
          </w:p>
          <w:p w14:paraId="0C9AAD8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t>4）水生植被</w:t>
            </w:r>
          </w:p>
          <w:p w14:paraId="4BD3614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t>评价区的典型的水生植被群系主要有</w:t>
            </w:r>
            <w:r>
              <w:rPr>
                <w:rFonts w:hint="eastAsia" w:ascii="宋体" w:hAnsi="宋体" w:cs="宋体"/>
                <w:b w:val="0"/>
                <w:bCs w:val="0"/>
                <w:color w:val="auto"/>
                <w:sz w:val="24"/>
                <w:szCs w:val="24"/>
                <w:lang w:eastAsia="zh-CN"/>
              </w:rPr>
              <w:t>芦苇等</w:t>
            </w:r>
            <w:r>
              <w:rPr>
                <w:rFonts w:hint="eastAsia" w:ascii="宋体" w:hAnsi="宋体" w:eastAsia="宋体" w:cs="宋体"/>
                <w:b w:val="0"/>
                <w:bCs w:val="0"/>
                <w:color w:val="auto"/>
                <w:sz w:val="24"/>
                <w:szCs w:val="24"/>
              </w:rPr>
              <w:t>。</w:t>
            </w:r>
          </w:p>
          <w:p w14:paraId="400525C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fldChar w:fldCharType="begin"/>
            </w:r>
            <w:r>
              <w:rPr>
                <w:rFonts w:hint="eastAsia" w:ascii="宋体" w:hAnsi="宋体" w:eastAsia="宋体" w:cs="宋体"/>
                <w:b w:val="0"/>
                <w:bCs w:val="0"/>
                <w:color w:val="auto"/>
                <w:sz w:val="24"/>
                <w:szCs w:val="24"/>
              </w:rPr>
              <w:instrText xml:space="preserve"> = 4 \* GB3 \* MERGEFORMAT </w:instrText>
            </w:r>
            <w:r>
              <w:rPr>
                <w:rFonts w:hint="eastAsia" w:ascii="宋体" w:hAnsi="宋体" w:eastAsia="宋体" w:cs="宋体"/>
                <w:b w:val="0"/>
                <w:bCs w:val="0"/>
                <w:color w:val="auto"/>
                <w:sz w:val="24"/>
                <w:szCs w:val="24"/>
              </w:rPr>
              <w:fldChar w:fldCharType="separate"/>
            </w:r>
            <w:r>
              <w:rPr>
                <w:rFonts w:hint="eastAsia" w:ascii="宋体" w:hAnsi="宋体" w:eastAsia="宋体" w:cs="宋体"/>
                <w:color w:val="auto"/>
                <w:sz w:val="24"/>
                <w:szCs w:val="24"/>
              </w:rPr>
              <w:t>④</w:t>
            </w:r>
            <w:r>
              <w:rPr>
                <w:rFonts w:hint="eastAsia" w:ascii="宋体" w:hAnsi="宋体" w:eastAsia="宋体" w:cs="宋体"/>
                <w:b w:val="0"/>
                <w:bCs w:val="0"/>
                <w:color w:val="auto"/>
                <w:sz w:val="24"/>
                <w:szCs w:val="24"/>
              </w:rPr>
              <w:fldChar w:fldCharType="end"/>
            </w:r>
            <w:r>
              <w:rPr>
                <w:rFonts w:hint="eastAsia" w:ascii="宋体" w:hAnsi="宋体" w:eastAsia="宋体" w:cs="宋体"/>
                <w:b w:val="0"/>
                <w:bCs w:val="0"/>
                <w:color w:val="auto"/>
                <w:sz w:val="24"/>
                <w:szCs w:val="24"/>
              </w:rPr>
              <w:t>植被</w:t>
            </w:r>
            <w:r>
              <w:rPr>
                <w:rFonts w:hint="eastAsia" w:ascii="宋体" w:hAnsi="宋体" w:cs="宋体"/>
                <w:b w:val="0"/>
                <w:bCs w:val="0"/>
                <w:color w:val="auto"/>
                <w:sz w:val="24"/>
                <w:szCs w:val="24"/>
                <w:lang w:eastAsia="zh-CN"/>
              </w:rPr>
              <w:t>覆盖度</w:t>
            </w:r>
            <w:r>
              <w:rPr>
                <w:rFonts w:hint="eastAsia" w:ascii="宋体" w:hAnsi="宋体" w:eastAsia="宋体" w:cs="宋体"/>
                <w:b w:val="0"/>
                <w:bCs w:val="0"/>
                <w:color w:val="auto"/>
                <w:sz w:val="24"/>
                <w:szCs w:val="24"/>
              </w:rPr>
              <w:t>特征</w:t>
            </w:r>
          </w:p>
          <w:p w14:paraId="57814A8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FF0000"/>
                <w:sz w:val="24"/>
                <w:szCs w:val="24"/>
                <w:lang w:eastAsia="zh-CN"/>
              </w:rPr>
            </w:pPr>
            <w:r>
              <w:rPr>
                <w:rFonts w:hint="eastAsia" w:ascii="宋体" w:hAnsi="宋体" w:cs="宋体"/>
                <w:b w:val="0"/>
                <w:bCs w:val="0"/>
                <w:color w:val="auto"/>
                <w:sz w:val="24"/>
                <w:szCs w:val="24"/>
                <w:lang w:eastAsia="zh-CN"/>
              </w:rPr>
              <w:t>本评价区的植被覆盖特征见下表所示：</w:t>
            </w:r>
          </w:p>
          <w:p w14:paraId="49D2EA6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b w:val="0"/>
                <w:bCs w:val="0"/>
                <w:color w:val="auto"/>
                <w:sz w:val="24"/>
                <w:szCs w:val="24"/>
                <w:lang w:eastAsia="zh-CN"/>
              </w:rPr>
            </w:pPr>
            <w:r>
              <w:rPr>
                <w:rFonts w:hint="default" w:ascii="Times New Roman" w:hAnsi="Times New Roman" w:eastAsia="宋体" w:cs="Times New Roman"/>
                <w:b/>
                <w:bCs/>
                <w:color w:val="auto"/>
                <w:sz w:val="24"/>
                <w:szCs w:val="24"/>
                <w:lang w:val="en-US" w:eastAsia="zh-CN"/>
              </w:rPr>
              <w:t>表3</w:t>
            </w:r>
            <w:r>
              <w:rPr>
                <w:rFonts w:hint="eastAsia" w:ascii="Times New Roman" w:hAnsi="Times New Roman" w:eastAsia="宋体" w:cs="Times New Roman"/>
                <w:b/>
                <w:bCs/>
                <w:color w:val="auto"/>
                <w:sz w:val="24"/>
                <w:szCs w:val="24"/>
                <w:lang w:val="en-US" w:eastAsia="zh-CN"/>
              </w:rPr>
              <w:t>.</w:t>
            </w:r>
            <w:r>
              <w:rPr>
                <w:rFonts w:hint="eastAsia" w:cs="Times New Roman"/>
                <w:b/>
                <w:bCs/>
                <w:color w:val="auto"/>
                <w:sz w:val="24"/>
                <w:szCs w:val="24"/>
                <w:lang w:val="en-US" w:eastAsia="zh-CN"/>
              </w:rPr>
              <w:t>7</w:t>
            </w:r>
            <w:r>
              <w:rPr>
                <w:rFonts w:hint="default" w:ascii="Times New Roman" w:hAnsi="Times New Roman" w:eastAsia="宋体" w:cs="Times New Roman"/>
                <w:b/>
                <w:bCs/>
                <w:color w:val="auto"/>
                <w:sz w:val="24"/>
                <w:szCs w:val="24"/>
                <w:lang w:val="en-US" w:eastAsia="zh-CN"/>
              </w:rPr>
              <w:t xml:space="preserve">  </w:t>
            </w:r>
            <w:r>
              <w:rPr>
                <w:rFonts w:hint="eastAsia" w:cs="Times New Roman"/>
                <w:b/>
                <w:bCs/>
                <w:color w:val="auto"/>
                <w:sz w:val="24"/>
                <w:szCs w:val="24"/>
                <w:lang w:val="en-US" w:eastAsia="zh-CN"/>
              </w:rPr>
              <w:t>评价区植被覆盖度统计</w:t>
            </w:r>
            <w:r>
              <w:rPr>
                <w:rFonts w:hint="default" w:ascii="Times New Roman" w:hAnsi="Times New Roman" w:eastAsia="宋体" w:cs="Times New Roman"/>
                <w:b/>
                <w:bCs/>
                <w:color w:val="auto"/>
                <w:sz w:val="24"/>
                <w:szCs w:val="24"/>
                <w:lang w:val="en-US" w:eastAsia="zh-CN"/>
              </w:rPr>
              <w:t>表</w:t>
            </w:r>
          </w:p>
          <w:tbl>
            <w:tblPr>
              <w:tblStyle w:val="9"/>
              <w:tblW w:w="8259"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3140"/>
              <w:gridCol w:w="2438"/>
              <w:gridCol w:w="2681"/>
            </w:tblGrid>
            <w:tr w14:paraId="2DF19C6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140" w:type="dxa"/>
                  <w:tcBorders>
                    <w:tl2br w:val="nil"/>
                    <w:tr2bl w:val="nil"/>
                  </w:tcBorders>
                  <w:shd w:val="clear" w:color="auto" w:fill="auto"/>
                  <w:noWrap/>
                  <w:vAlign w:val="center"/>
                </w:tcPr>
                <w:p w14:paraId="4A2AD9D3">
                  <w:pPr>
                    <w:keepNext w:val="0"/>
                    <w:keepLines w:val="0"/>
                    <w:widowControl/>
                    <w:suppressLineNumbers w:val="0"/>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类别</w:t>
                  </w:r>
                </w:p>
              </w:tc>
              <w:tc>
                <w:tcPr>
                  <w:tcW w:w="2438" w:type="dxa"/>
                  <w:tcBorders>
                    <w:tl2br w:val="nil"/>
                    <w:tr2bl w:val="nil"/>
                  </w:tcBorders>
                  <w:shd w:val="clear" w:color="auto" w:fill="auto"/>
                  <w:noWrap/>
                  <w:vAlign w:val="center"/>
                </w:tcPr>
                <w:p w14:paraId="75150610">
                  <w:pPr>
                    <w:keepNext w:val="0"/>
                    <w:keepLines w:val="0"/>
                    <w:widowControl/>
                    <w:suppressLineNumbers w:val="0"/>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面积（hm</w:t>
                  </w:r>
                  <w:r>
                    <w:rPr>
                      <w:rFonts w:hint="eastAsia" w:ascii="宋体" w:hAnsi="宋体" w:eastAsia="宋体" w:cs="宋体"/>
                      <w:color w:val="auto"/>
                      <w:sz w:val="21"/>
                      <w:szCs w:val="21"/>
                      <w:lang w:val="en-US" w:eastAsia="zh-CN" w:bidi="ar"/>
                    </w:rPr>
                    <w:t>²</w:t>
                  </w:r>
                  <w:r>
                    <w:rPr>
                      <w:rFonts w:hint="eastAsia" w:ascii="宋体" w:hAnsi="宋体" w:eastAsia="宋体" w:cs="宋体"/>
                      <w:i w:val="0"/>
                      <w:iCs w:val="0"/>
                      <w:color w:val="auto"/>
                      <w:kern w:val="0"/>
                      <w:sz w:val="21"/>
                      <w:szCs w:val="21"/>
                      <w:u w:val="none"/>
                      <w:lang w:val="en-US" w:eastAsia="zh-CN" w:bidi="ar"/>
                    </w:rPr>
                    <w:t>)</w:t>
                  </w:r>
                </w:p>
              </w:tc>
              <w:tc>
                <w:tcPr>
                  <w:tcW w:w="2681" w:type="dxa"/>
                  <w:tcBorders>
                    <w:tl2br w:val="nil"/>
                    <w:tr2bl w:val="nil"/>
                  </w:tcBorders>
                  <w:shd w:val="clear" w:color="auto" w:fill="auto"/>
                  <w:noWrap/>
                  <w:vAlign w:val="center"/>
                </w:tcPr>
                <w:p w14:paraId="2A75CECB">
                  <w:pPr>
                    <w:keepNext w:val="0"/>
                    <w:keepLines w:val="0"/>
                    <w:widowControl/>
                    <w:suppressLineNumbers w:val="0"/>
                    <w:jc w:val="center"/>
                    <w:textAlignment w:val="center"/>
                    <w:rPr>
                      <w:rFonts w:hint="eastAsia" w:ascii="宋体" w:hAnsi="宋体" w:eastAsia="宋体" w:cs="宋体"/>
                      <w:i w:val="0"/>
                      <w:iCs w:val="0"/>
                      <w:color w:val="auto"/>
                      <w:sz w:val="21"/>
                      <w:szCs w:val="21"/>
                      <w:u w:val="none"/>
                    </w:rPr>
                  </w:pPr>
                  <w:r>
                    <w:rPr>
                      <w:rFonts w:hint="eastAsia" w:ascii="宋体" w:hAnsi="宋体" w:eastAsia="宋体" w:cs="宋体"/>
                      <w:i w:val="0"/>
                      <w:iCs w:val="0"/>
                      <w:color w:val="auto"/>
                      <w:kern w:val="0"/>
                      <w:sz w:val="21"/>
                      <w:szCs w:val="21"/>
                      <w:u w:val="none"/>
                      <w:lang w:val="en-US" w:eastAsia="zh-CN" w:bidi="ar"/>
                    </w:rPr>
                    <w:t>面积占比（%）</w:t>
                  </w:r>
                </w:p>
              </w:tc>
            </w:tr>
            <w:tr w14:paraId="00E7552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140" w:type="dxa"/>
                  <w:tcBorders>
                    <w:tl2br w:val="nil"/>
                    <w:tr2bl w:val="nil"/>
                  </w:tcBorders>
                  <w:shd w:val="clear" w:color="auto" w:fill="auto"/>
                  <w:noWrap/>
                  <w:vAlign w:val="center"/>
                </w:tcPr>
                <w:p w14:paraId="41B5F921">
                  <w:pPr>
                    <w:keepNext w:val="0"/>
                    <w:keepLines w:val="0"/>
                    <w:widowControl/>
                    <w:suppressLineNumbers w:val="0"/>
                    <w:jc w:val="center"/>
                    <w:textAlignment w:val="center"/>
                    <w:rPr>
                      <w:rFonts w:hint="eastAsia" w:ascii="宋体" w:hAnsi="宋体" w:eastAsia="宋体" w:cs="宋体"/>
                      <w:i w:val="0"/>
                      <w:iCs w:val="0"/>
                      <w:color w:val="auto"/>
                      <w:sz w:val="21"/>
                      <w:szCs w:val="21"/>
                      <w:u w:val="none"/>
                    </w:rPr>
                  </w:pPr>
                  <w:r>
                    <w:rPr>
                      <w:rFonts w:hint="eastAsia" w:ascii="等线" w:hAnsi="等线" w:eastAsia="等线" w:cs="等线"/>
                      <w:i w:val="0"/>
                      <w:iCs w:val="0"/>
                      <w:color w:val="auto"/>
                      <w:kern w:val="0"/>
                      <w:sz w:val="22"/>
                      <w:szCs w:val="22"/>
                      <w:u w:val="none"/>
                      <w:lang w:val="en-US" w:eastAsia="zh-CN" w:bidi="ar"/>
                    </w:rPr>
                    <w:t>低覆盖度（0-10）</w:t>
                  </w:r>
                </w:p>
              </w:tc>
              <w:tc>
                <w:tcPr>
                  <w:tcW w:w="2438" w:type="dxa"/>
                  <w:tcBorders>
                    <w:tl2br w:val="nil"/>
                    <w:tr2bl w:val="nil"/>
                  </w:tcBorders>
                  <w:shd w:val="clear" w:color="auto" w:fill="auto"/>
                  <w:noWrap/>
                  <w:vAlign w:val="center"/>
                </w:tcPr>
                <w:p w14:paraId="1CD470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等线" w:hAnsi="等线" w:eastAsia="等线" w:cs="等线"/>
                      <w:i w:val="0"/>
                      <w:iCs w:val="0"/>
                      <w:color w:val="000000"/>
                      <w:kern w:val="0"/>
                      <w:sz w:val="22"/>
                      <w:szCs w:val="22"/>
                      <w:u w:val="none"/>
                      <w:lang w:val="en-US" w:eastAsia="zh-CN" w:bidi="ar"/>
                    </w:rPr>
                    <w:t>1316.33</w:t>
                  </w:r>
                </w:p>
              </w:tc>
              <w:tc>
                <w:tcPr>
                  <w:tcW w:w="2681" w:type="dxa"/>
                  <w:tcBorders>
                    <w:tl2br w:val="nil"/>
                    <w:tr2bl w:val="nil"/>
                  </w:tcBorders>
                  <w:shd w:val="clear" w:color="auto" w:fill="auto"/>
                  <w:noWrap/>
                  <w:vAlign w:val="center"/>
                </w:tcPr>
                <w:p w14:paraId="382D34B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等线" w:hAnsi="等线" w:eastAsia="等线" w:cs="等线"/>
                      <w:i w:val="0"/>
                      <w:iCs w:val="0"/>
                      <w:color w:val="000000"/>
                      <w:kern w:val="0"/>
                      <w:sz w:val="22"/>
                      <w:szCs w:val="22"/>
                      <w:u w:val="none"/>
                      <w:lang w:val="en-US" w:eastAsia="zh-CN" w:bidi="ar"/>
                    </w:rPr>
                    <w:t>47.81</w:t>
                  </w:r>
                </w:p>
              </w:tc>
            </w:tr>
            <w:tr w14:paraId="189AADF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140" w:type="dxa"/>
                  <w:tcBorders>
                    <w:tl2br w:val="nil"/>
                    <w:tr2bl w:val="nil"/>
                  </w:tcBorders>
                  <w:shd w:val="clear" w:color="auto" w:fill="auto"/>
                  <w:noWrap/>
                  <w:vAlign w:val="center"/>
                </w:tcPr>
                <w:p w14:paraId="285F1076">
                  <w:pPr>
                    <w:keepNext w:val="0"/>
                    <w:keepLines w:val="0"/>
                    <w:widowControl/>
                    <w:suppressLineNumbers w:val="0"/>
                    <w:jc w:val="center"/>
                    <w:textAlignment w:val="center"/>
                    <w:rPr>
                      <w:rFonts w:hint="eastAsia" w:ascii="宋体" w:hAnsi="宋体" w:eastAsia="宋体" w:cs="宋体"/>
                      <w:i w:val="0"/>
                      <w:iCs w:val="0"/>
                      <w:color w:val="FF0000"/>
                      <w:sz w:val="21"/>
                      <w:szCs w:val="21"/>
                      <w:u w:val="none"/>
                    </w:rPr>
                  </w:pPr>
                  <w:r>
                    <w:rPr>
                      <w:rFonts w:hint="eastAsia" w:ascii="等线" w:hAnsi="等线" w:eastAsia="等线" w:cs="等线"/>
                      <w:i w:val="0"/>
                      <w:iCs w:val="0"/>
                      <w:color w:val="000000"/>
                      <w:kern w:val="0"/>
                      <w:sz w:val="22"/>
                      <w:szCs w:val="22"/>
                      <w:u w:val="none"/>
                      <w:lang w:val="en-US" w:eastAsia="zh-CN" w:bidi="ar"/>
                    </w:rPr>
                    <w:t>中低覆盖度（10-30）</w:t>
                  </w:r>
                </w:p>
              </w:tc>
              <w:tc>
                <w:tcPr>
                  <w:tcW w:w="2438" w:type="dxa"/>
                  <w:tcBorders>
                    <w:tl2br w:val="nil"/>
                    <w:tr2bl w:val="nil"/>
                  </w:tcBorders>
                  <w:shd w:val="clear" w:color="auto" w:fill="auto"/>
                  <w:noWrap/>
                  <w:vAlign w:val="center"/>
                </w:tcPr>
                <w:p w14:paraId="2C12B180">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55.95</w:t>
                  </w:r>
                </w:p>
              </w:tc>
              <w:tc>
                <w:tcPr>
                  <w:tcW w:w="2681" w:type="dxa"/>
                  <w:tcBorders>
                    <w:tl2br w:val="nil"/>
                    <w:tr2bl w:val="nil"/>
                  </w:tcBorders>
                  <w:shd w:val="clear" w:color="auto" w:fill="auto"/>
                  <w:noWrap/>
                  <w:vAlign w:val="center"/>
                </w:tcPr>
                <w:p w14:paraId="2CDE76B1">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2.03</w:t>
                  </w:r>
                </w:p>
              </w:tc>
            </w:tr>
            <w:tr w14:paraId="21C42DC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140" w:type="dxa"/>
                  <w:tcBorders>
                    <w:tl2br w:val="nil"/>
                    <w:tr2bl w:val="nil"/>
                  </w:tcBorders>
                  <w:shd w:val="clear" w:color="auto" w:fill="auto"/>
                  <w:noWrap/>
                  <w:vAlign w:val="center"/>
                </w:tcPr>
                <w:p w14:paraId="0C0C1B39">
                  <w:pPr>
                    <w:keepNext w:val="0"/>
                    <w:keepLines w:val="0"/>
                    <w:widowControl/>
                    <w:suppressLineNumbers w:val="0"/>
                    <w:jc w:val="center"/>
                    <w:textAlignment w:val="center"/>
                    <w:rPr>
                      <w:rFonts w:hint="eastAsia" w:ascii="宋体" w:hAnsi="宋体" w:eastAsia="宋体" w:cs="宋体"/>
                      <w:i w:val="0"/>
                      <w:iCs w:val="0"/>
                      <w:color w:val="FF0000"/>
                      <w:sz w:val="21"/>
                      <w:szCs w:val="21"/>
                      <w:u w:val="none"/>
                    </w:rPr>
                  </w:pPr>
                  <w:r>
                    <w:rPr>
                      <w:rFonts w:hint="eastAsia" w:ascii="等线" w:hAnsi="等线" w:eastAsia="等线" w:cs="等线"/>
                      <w:i w:val="0"/>
                      <w:iCs w:val="0"/>
                      <w:color w:val="000000"/>
                      <w:kern w:val="0"/>
                      <w:sz w:val="22"/>
                      <w:szCs w:val="22"/>
                      <w:u w:val="none"/>
                      <w:lang w:val="en-US" w:eastAsia="zh-CN" w:bidi="ar"/>
                    </w:rPr>
                    <w:t>中覆盖的（30-50）</w:t>
                  </w:r>
                </w:p>
              </w:tc>
              <w:tc>
                <w:tcPr>
                  <w:tcW w:w="2438" w:type="dxa"/>
                  <w:tcBorders>
                    <w:tl2br w:val="nil"/>
                    <w:tr2bl w:val="nil"/>
                  </w:tcBorders>
                  <w:shd w:val="clear" w:color="auto" w:fill="auto"/>
                  <w:noWrap/>
                  <w:vAlign w:val="center"/>
                </w:tcPr>
                <w:p w14:paraId="3AFF8A36">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167.93</w:t>
                  </w:r>
                </w:p>
              </w:tc>
              <w:tc>
                <w:tcPr>
                  <w:tcW w:w="2681" w:type="dxa"/>
                  <w:tcBorders>
                    <w:tl2br w:val="nil"/>
                    <w:tr2bl w:val="nil"/>
                  </w:tcBorders>
                  <w:shd w:val="clear" w:color="auto" w:fill="auto"/>
                  <w:noWrap/>
                  <w:vAlign w:val="center"/>
                </w:tcPr>
                <w:p w14:paraId="5005D6ED">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6.10</w:t>
                  </w:r>
                </w:p>
              </w:tc>
            </w:tr>
            <w:tr w14:paraId="392E747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140" w:type="dxa"/>
                  <w:tcBorders>
                    <w:tl2br w:val="nil"/>
                    <w:tr2bl w:val="nil"/>
                  </w:tcBorders>
                  <w:shd w:val="clear" w:color="auto" w:fill="auto"/>
                  <w:noWrap/>
                  <w:vAlign w:val="center"/>
                </w:tcPr>
                <w:p w14:paraId="4E1CFD2B">
                  <w:pPr>
                    <w:keepNext w:val="0"/>
                    <w:keepLines w:val="0"/>
                    <w:widowControl/>
                    <w:suppressLineNumbers w:val="0"/>
                    <w:jc w:val="center"/>
                    <w:textAlignment w:val="center"/>
                    <w:rPr>
                      <w:rFonts w:hint="eastAsia" w:ascii="宋体" w:hAnsi="宋体" w:eastAsia="宋体" w:cs="宋体"/>
                      <w:i w:val="0"/>
                      <w:iCs w:val="0"/>
                      <w:color w:val="FF0000"/>
                      <w:sz w:val="21"/>
                      <w:szCs w:val="21"/>
                      <w:u w:val="none"/>
                    </w:rPr>
                  </w:pPr>
                  <w:r>
                    <w:rPr>
                      <w:rFonts w:hint="eastAsia" w:ascii="等线" w:hAnsi="等线" w:eastAsia="等线" w:cs="等线"/>
                      <w:i w:val="0"/>
                      <w:iCs w:val="0"/>
                      <w:color w:val="000000"/>
                      <w:kern w:val="0"/>
                      <w:sz w:val="22"/>
                      <w:szCs w:val="22"/>
                      <w:u w:val="none"/>
                      <w:lang w:val="en-US" w:eastAsia="zh-CN" w:bidi="ar"/>
                    </w:rPr>
                    <w:t>中高覆盖度（50-70）</w:t>
                  </w:r>
                </w:p>
              </w:tc>
              <w:tc>
                <w:tcPr>
                  <w:tcW w:w="2438" w:type="dxa"/>
                  <w:tcBorders>
                    <w:tl2br w:val="nil"/>
                    <w:tr2bl w:val="nil"/>
                  </w:tcBorders>
                  <w:shd w:val="clear" w:color="auto" w:fill="auto"/>
                  <w:noWrap/>
                  <w:vAlign w:val="center"/>
                </w:tcPr>
                <w:p w14:paraId="60C53864">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406.99</w:t>
                  </w:r>
                </w:p>
              </w:tc>
              <w:tc>
                <w:tcPr>
                  <w:tcW w:w="2681" w:type="dxa"/>
                  <w:tcBorders>
                    <w:tl2br w:val="nil"/>
                    <w:tr2bl w:val="nil"/>
                  </w:tcBorders>
                  <w:shd w:val="clear" w:color="auto" w:fill="auto"/>
                  <w:noWrap/>
                  <w:vAlign w:val="center"/>
                </w:tcPr>
                <w:p w14:paraId="66BBC7BA">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14.78</w:t>
                  </w:r>
                </w:p>
              </w:tc>
            </w:tr>
            <w:tr w14:paraId="70B4619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140" w:type="dxa"/>
                  <w:tcBorders>
                    <w:tl2br w:val="nil"/>
                    <w:tr2bl w:val="nil"/>
                  </w:tcBorders>
                  <w:shd w:val="clear" w:color="auto" w:fill="auto"/>
                  <w:noWrap/>
                  <w:vAlign w:val="center"/>
                </w:tcPr>
                <w:p w14:paraId="38206BB4">
                  <w:pPr>
                    <w:keepNext w:val="0"/>
                    <w:keepLines w:val="0"/>
                    <w:widowControl/>
                    <w:suppressLineNumbers w:val="0"/>
                    <w:jc w:val="center"/>
                    <w:textAlignment w:val="center"/>
                    <w:rPr>
                      <w:rFonts w:hint="eastAsia" w:ascii="宋体" w:hAnsi="宋体" w:eastAsia="宋体" w:cs="宋体"/>
                      <w:i w:val="0"/>
                      <w:iCs w:val="0"/>
                      <w:color w:val="FF0000"/>
                      <w:sz w:val="21"/>
                      <w:szCs w:val="21"/>
                      <w:u w:val="none"/>
                    </w:rPr>
                  </w:pPr>
                  <w:r>
                    <w:rPr>
                      <w:rFonts w:hint="eastAsia" w:ascii="等线" w:hAnsi="等线" w:eastAsia="等线" w:cs="等线"/>
                      <w:i w:val="0"/>
                      <w:iCs w:val="0"/>
                      <w:color w:val="000000"/>
                      <w:kern w:val="0"/>
                      <w:sz w:val="22"/>
                      <w:szCs w:val="22"/>
                      <w:u w:val="none"/>
                      <w:lang w:val="en-US" w:eastAsia="zh-CN" w:bidi="ar"/>
                    </w:rPr>
                    <w:t>高覆盖度（70-100）</w:t>
                  </w:r>
                </w:p>
              </w:tc>
              <w:tc>
                <w:tcPr>
                  <w:tcW w:w="2438" w:type="dxa"/>
                  <w:tcBorders>
                    <w:tl2br w:val="nil"/>
                    <w:tr2bl w:val="nil"/>
                  </w:tcBorders>
                  <w:shd w:val="clear" w:color="auto" w:fill="auto"/>
                  <w:noWrap/>
                  <w:vAlign w:val="center"/>
                </w:tcPr>
                <w:p w14:paraId="13F23F9E">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805.77</w:t>
                  </w:r>
                </w:p>
              </w:tc>
              <w:tc>
                <w:tcPr>
                  <w:tcW w:w="2681" w:type="dxa"/>
                  <w:tcBorders>
                    <w:tl2br w:val="nil"/>
                    <w:tr2bl w:val="nil"/>
                  </w:tcBorders>
                  <w:shd w:val="clear" w:color="auto" w:fill="auto"/>
                  <w:noWrap/>
                  <w:vAlign w:val="center"/>
                </w:tcPr>
                <w:p w14:paraId="5F98A1FF">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29.27</w:t>
                  </w:r>
                </w:p>
              </w:tc>
            </w:tr>
            <w:tr w14:paraId="74FB30D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140" w:type="dxa"/>
                  <w:tcBorders>
                    <w:tl2br w:val="nil"/>
                    <w:tr2bl w:val="nil"/>
                  </w:tcBorders>
                  <w:shd w:val="clear" w:color="auto" w:fill="auto"/>
                  <w:noWrap/>
                  <w:vAlign w:val="center"/>
                </w:tcPr>
                <w:p w14:paraId="3C9FC94B">
                  <w:pPr>
                    <w:keepNext w:val="0"/>
                    <w:keepLines w:val="0"/>
                    <w:widowControl/>
                    <w:suppressLineNumbers w:val="0"/>
                    <w:jc w:val="center"/>
                    <w:textAlignment w:val="center"/>
                    <w:rPr>
                      <w:rFonts w:hint="eastAsia" w:ascii="宋体" w:hAnsi="宋体" w:eastAsia="宋体" w:cs="宋体"/>
                      <w:i w:val="0"/>
                      <w:iCs w:val="0"/>
                      <w:color w:val="FF0000"/>
                      <w:sz w:val="21"/>
                      <w:szCs w:val="21"/>
                      <w:u w:val="none"/>
                    </w:rPr>
                  </w:pPr>
                  <w:r>
                    <w:rPr>
                      <w:rFonts w:hint="eastAsia" w:ascii="等线" w:hAnsi="等线" w:eastAsia="等线" w:cs="等线"/>
                      <w:i w:val="0"/>
                      <w:iCs w:val="0"/>
                      <w:color w:val="000000"/>
                      <w:kern w:val="0"/>
                      <w:sz w:val="22"/>
                      <w:szCs w:val="22"/>
                      <w:u w:val="none"/>
                      <w:lang w:val="en-US" w:eastAsia="zh-CN" w:bidi="ar"/>
                    </w:rPr>
                    <w:t>合计</w:t>
                  </w:r>
                </w:p>
              </w:tc>
              <w:tc>
                <w:tcPr>
                  <w:tcW w:w="2438" w:type="dxa"/>
                  <w:tcBorders>
                    <w:tl2br w:val="nil"/>
                    <w:tr2bl w:val="nil"/>
                  </w:tcBorders>
                  <w:shd w:val="clear" w:color="auto" w:fill="auto"/>
                  <w:noWrap/>
                  <w:vAlign w:val="center"/>
                </w:tcPr>
                <w:p w14:paraId="2DAAC4FD">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2752.98</w:t>
                  </w:r>
                </w:p>
              </w:tc>
              <w:tc>
                <w:tcPr>
                  <w:tcW w:w="2681" w:type="dxa"/>
                  <w:tcBorders>
                    <w:tl2br w:val="nil"/>
                    <w:tr2bl w:val="nil"/>
                  </w:tcBorders>
                  <w:shd w:val="clear" w:color="auto" w:fill="auto"/>
                  <w:noWrap/>
                  <w:vAlign w:val="center"/>
                </w:tcPr>
                <w:p w14:paraId="3473C1D5">
                  <w:pPr>
                    <w:keepNext w:val="0"/>
                    <w:keepLines w:val="0"/>
                    <w:widowControl/>
                    <w:suppressLineNumbers w:val="0"/>
                    <w:jc w:val="center"/>
                    <w:textAlignment w:val="center"/>
                    <w:rPr>
                      <w:rFonts w:hint="eastAsia" w:ascii="宋体" w:hAnsi="宋体" w:eastAsia="宋体" w:cs="宋体"/>
                      <w:i w:val="0"/>
                      <w:iCs w:val="0"/>
                      <w:color w:val="FF0000"/>
                      <w:sz w:val="22"/>
                      <w:szCs w:val="22"/>
                      <w:u w:val="none"/>
                    </w:rPr>
                  </w:pPr>
                  <w:r>
                    <w:rPr>
                      <w:rFonts w:hint="eastAsia" w:ascii="等线" w:hAnsi="等线" w:eastAsia="等线" w:cs="等线"/>
                      <w:i w:val="0"/>
                      <w:iCs w:val="0"/>
                      <w:color w:val="000000"/>
                      <w:kern w:val="0"/>
                      <w:sz w:val="22"/>
                      <w:szCs w:val="22"/>
                      <w:u w:val="none"/>
                      <w:lang w:val="en-US" w:eastAsia="zh-CN" w:bidi="ar"/>
                    </w:rPr>
                    <w:t>100.00</w:t>
                  </w:r>
                </w:p>
              </w:tc>
            </w:tr>
          </w:tbl>
          <w:p w14:paraId="4100FE1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FF0000"/>
                <w:sz w:val="24"/>
                <w:szCs w:val="24"/>
                <w:lang w:val="en-US" w:eastAsia="zh-CN"/>
              </w:rPr>
            </w:pPr>
          </w:p>
          <w:p w14:paraId="3684480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eastAsia="zh-CN"/>
              </w:rPr>
              <w:t>从以上统计可知，评价区的低覆盖度面积比最大，为</w:t>
            </w:r>
            <w:r>
              <w:rPr>
                <w:rFonts w:hint="eastAsia" w:ascii="宋体" w:hAnsi="宋体" w:cs="宋体"/>
                <w:b w:val="0"/>
                <w:bCs w:val="0"/>
                <w:color w:val="auto"/>
                <w:sz w:val="24"/>
                <w:szCs w:val="24"/>
                <w:lang w:val="en-US" w:eastAsia="zh-CN"/>
              </w:rPr>
              <w:t>47.81%；高覆盖度面积次之，为29.27%；中高覆盖度面积为14.78%。中低覆盖度和中覆盖度面积少，分别占2.03%和6.10%；（见附图13）</w:t>
            </w:r>
          </w:p>
          <w:p w14:paraId="64FED88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fldChar w:fldCharType="begin"/>
            </w:r>
            <w:r>
              <w:rPr>
                <w:rFonts w:hint="eastAsia" w:ascii="宋体" w:hAnsi="宋体" w:eastAsia="宋体" w:cs="宋体"/>
                <w:b w:val="0"/>
                <w:bCs w:val="0"/>
                <w:color w:val="auto"/>
                <w:sz w:val="24"/>
                <w:szCs w:val="24"/>
              </w:rPr>
              <w:instrText xml:space="preserve"> = 5 \* GB3 \* MERGEFORMAT </w:instrText>
            </w:r>
            <w:r>
              <w:rPr>
                <w:rFonts w:hint="eastAsia" w:ascii="宋体" w:hAnsi="宋体" w:eastAsia="宋体" w:cs="宋体"/>
                <w:b w:val="0"/>
                <w:bCs w:val="0"/>
                <w:color w:val="auto"/>
                <w:sz w:val="24"/>
                <w:szCs w:val="24"/>
              </w:rPr>
              <w:fldChar w:fldCharType="separate"/>
            </w:r>
            <w:r>
              <w:rPr>
                <w:rFonts w:hint="eastAsia" w:ascii="宋体" w:hAnsi="宋体" w:eastAsia="宋体" w:cs="宋体"/>
                <w:color w:val="auto"/>
                <w:sz w:val="24"/>
                <w:szCs w:val="24"/>
              </w:rPr>
              <w:t>⑤</w:t>
            </w:r>
            <w:r>
              <w:rPr>
                <w:rFonts w:hint="eastAsia" w:ascii="宋体" w:hAnsi="宋体" w:eastAsia="宋体" w:cs="宋体"/>
                <w:b w:val="0"/>
                <w:bCs w:val="0"/>
                <w:color w:val="auto"/>
                <w:sz w:val="24"/>
                <w:szCs w:val="24"/>
              </w:rPr>
              <w:fldChar w:fldCharType="end"/>
            </w:r>
            <w:r>
              <w:rPr>
                <w:rFonts w:hint="eastAsia" w:ascii="宋体" w:hAnsi="宋体" w:eastAsia="宋体" w:cs="宋体"/>
                <w:b w:val="0"/>
                <w:bCs w:val="0"/>
                <w:color w:val="auto"/>
                <w:sz w:val="24"/>
                <w:szCs w:val="24"/>
              </w:rPr>
              <w:t>植物群落结构及演替规律</w:t>
            </w:r>
          </w:p>
          <w:p w14:paraId="3BFB64F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t>本次评价区域为</w:t>
            </w:r>
            <w:r>
              <w:rPr>
                <w:rFonts w:hint="eastAsia" w:ascii="宋体" w:hAnsi="宋体" w:cs="宋体"/>
                <w:b w:val="0"/>
                <w:bCs w:val="0"/>
                <w:color w:val="auto"/>
                <w:sz w:val="24"/>
                <w:szCs w:val="24"/>
                <w:lang w:val="en-US" w:eastAsia="zh-CN"/>
              </w:rPr>
              <w:t>低山、</w:t>
            </w:r>
            <w:r>
              <w:rPr>
                <w:rFonts w:hint="eastAsia" w:ascii="宋体" w:hAnsi="宋体" w:eastAsia="宋体" w:cs="宋体"/>
                <w:b w:val="0"/>
                <w:bCs w:val="0"/>
                <w:color w:val="auto"/>
                <w:sz w:val="24"/>
                <w:szCs w:val="24"/>
              </w:rPr>
              <w:t>丘陵地区，主要以</w:t>
            </w:r>
            <w:r>
              <w:rPr>
                <w:rFonts w:hint="eastAsia" w:ascii="宋体" w:hAnsi="宋体" w:cs="宋体"/>
                <w:b w:val="0"/>
                <w:bCs w:val="0"/>
                <w:color w:val="auto"/>
                <w:sz w:val="24"/>
                <w:szCs w:val="24"/>
                <w:lang w:eastAsia="zh-CN"/>
              </w:rPr>
              <w:t>城市和</w:t>
            </w:r>
            <w:r>
              <w:rPr>
                <w:rFonts w:hint="eastAsia" w:ascii="宋体" w:hAnsi="宋体" w:eastAsia="宋体" w:cs="宋体"/>
                <w:b w:val="0"/>
                <w:bCs w:val="0"/>
                <w:color w:val="auto"/>
                <w:sz w:val="24"/>
                <w:szCs w:val="24"/>
              </w:rPr>
              <w:t>农田为主。由于评价区域相对较小，区域环境中，光照、温度、水分和土壤资源的空间异质性较小，造成了评价区植被在分布特征不明显。植被类型主要以农作物和人工林为主，其次主要为灌草丛分布。此外，因评价区为丘陵地区，植被垂直分布特征不明显。</w:t>
            </w:r>
          </w:p>
          <w:p w14:paraId="74ED2D1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rPr>
            </w:pPr>
            <w:r>
              <w:rPr>
                <w:rFonts w:hint="eastAsia" w:ascii="宋体" w:hAnsi="宋体" w:eastAsia="宋体" w:cs="宋体"/>
                <w:b w:val="0"/>
                <w:bCs w:val="0"/>
                <w:color w:val="auto"/>
                <w:sz w:val="24"/>
                <w:szCs w:val="24"/>
              </w:rPr>
              <w:t>岳阳市岳阳楼区毗邻东洞庭湖，境内河湖交错、洲滩广布，区域植物群落自然演替轨迹与湿地沉积成因紧密关联，境内湿地以河相沉积、河湖相沉积为主要成因，泥沙沉积速率是调控本地植物群落演替的核心因素。区域内缓慢沉积的河滩河床，泥沙淤积厚度小、土质疏松，穿透力阻力低，适配多样化水生植物繁育生长。在汛期水流搬运作用强烈、泥沙淤积速度过快的局部滩涂区域，快速堆积的泥沙大幅增加土层厚度，阻碍植物根状茎、根系下扎以及种子破土萌发，裸露泥滩与厚积泥沙环境下，仅芦苇、鸡婆柳等无性繁殖能力极强、抗淤积能力突出的植物能够存活生长，群落物种单一化特征显著。而境内多数湖滨洲滩以河湖相沉积为主，沉积速率介于慢速河相沉积与快速河相沉积之间，泥沙淤积条件适中，既可为萌发类水生植物提供生长条件，也适配无性繁殖植物繁衍，逐步形成苔草、芦苇、灌木交错分布的复合型植物群落，整体呈现出随泥沙沉积速率变化，由单一无性繁殖植物群落向复合型水生植物群落自然演替的规律性特征。</w:t>
            </w:r>
          </w:p>
          <w:p w14:paraId="7321C33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FF0000"/>
                <w:sz w:val="24"/>
                <w:szCs w:val="24"/>
              </w:rPr>
            </w:pPr>
            <w:r>
              <w:rPr>
                <w:rFonts w:hint="eastAsia" w:ascii="宋体" w:hAnsi="宋体" w:eastAsia="宋体" w:cs="宋体"/>
                <w:b w:val="0"/>
                <w:bCs w:val="0"/>
                <w:color w:val="auto"/>
                <w:sz w:val="24"/>
                <w:szCs w:val="24"/>
              </w:rPr>
              <w:t>整个区域的植物群落演替规律受泥沙淤积和人类活动的干扰影响较大。</w:t>
            </w:r>
          </w:p>
          <w:p w14:paraId="27C9D124">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default" w:eastAsia="宋体"/>
                <w:b/>
                <w:bCs/>
                <w:color w:val="auto"/>
                <w:sz w:val="24"/>
                <w:szCs w:val="24"/>
                <w:lang w:val="en-US" w:eastAsia="zh-CN"/>
              </w:rPr>
            </w:pPr>
            <w:r>
              <w:rPr>
                <w:rFonts w:hint="eastAsia"/>
                <w:b/>
                <w:bCs/>
                <w:color w:val="auto"/>
                <w:sz w:val="24"/>
                <w:szCs w:val="24"/>
                <w:lang w:val="en-US" w:eastAsia="zh-CN"/>
              </w:rPr>
              <w:t>（4）动物</w:t>
            </w:r>
          </w:p>
          <w:p w14:paraId="445F8A4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auto"/>
                <w:sz w:val="24"/>
                <w:szCs w:val="24"/>
              </w:rPr>
            </w:pPr>
            <w:r>
              <w:rPr>
                <w:rFonts w:hint="eastAsia"/>
                <w:b w:val="0"/>
                <w:bCs w:val="0"/>
                <w:color w:val="auto"/>
                <w:sz w:val="24"/>
                <w:szCs w:val="24"/>
              </w:rPr>
              <w:t>依据《环境影响评价技术导则 生态影响》（HJ 19-2022）生态现状调查要求，结合《中国动物地理》（张荣祖，2011年）区划标准开展区域动物现状评价。我国陆生脊椎动物划分为古北界与东洋界两大区系，分界线西起横断山脉北部，东至长江口以北。岳阳市岳阳楼区位于东洞庭湖东岸，动物地理区划归属华中区—东部丘陵平原亚区—常见沿岸平原省—农田湿地动物群（VIA2）。按照HJ 19-2022导则对物种、生境、生物多样性的评价要求，结合区域野外调查及洞庭湖区生物多样性调查资料，本区陆生脊椎动物物种组成丰富，动物群落依托洞庭湖滩涂、水域、农田复合生境发育。区域地理位置临近古北界与东洋界过渡分界线，区系交汇特征明显，境内动物包含东洋界物种、古北界物种及广布种，各类群物种相互渗透，无明显单一区系优势物种；其中鸟类、哺乳类迁徙流动性强，是造成区系混杂分布的主要原因。从生境类型来看，岳阳楼区河湖湿地连片分布，为水鸟、水生哺乳动物、两栖爬行类提供觅食、栖息、越冬与迁徙停歇生境，区域内分布有国家重点保护野生动物，珍稀濒危物种依托洞庭湖湿地完成生活史。综合评价，依据HJ 19-2022生物多样性评价原则，本区属于典型</w:t>
            </w:r>
            <w:r>
              <w:rPr>
                <w:rFonts w:hint="eastAsia"/>
                <w:b w:val="0"/>
                <w:bCs w:val="0"/>
                <w:color w:val="auto"/>
                <w:sz w:val="24"/>
                <w:szCs w:val="24"/>
                <w:lang w:eastAsia="zh-CN"/>
              </w:rPr>
              <w:t>“</w:t>
            </w:r>
            <w:r>
              <w:rPr>
                <w:rFonts w:hint="eastAsia"/>
                <w:b w:val="0"/>
                <w:bCs w:val="0"/>
                <w:color w:val="auto"/>
                <w:sz w:val="24"/>
                <w:szCs w:val="24"/>
              </w:rPr>
              <w:t>河湖湿地型动物群落</w:t>
            </w:r>
            <w:r>
              <w:rPr>
                <w:rFonts w:hint="eastAsia"/>
                <w:b w:val="0"/>
                <w:bCs w:val="0"/>
                <w:color w:val="auto"/>
                <w:sz w:val="24"/>
                <w:szCs w:val="24"/>
                <w:lang w:eastAsia="zh-CN"/>
              </w:rPr>
              <w:t>”</w:t>
            </w:r>
            <w:r>
              <w:rPr>
                <w:rFonts w:hint="eastAsia"/>
                <w:b w:val="0"/>
                <w:bCs w:val="0"/>
                <w:color w:val="auto"/>
                <w:sz w:val="24"/>
                <w:szCs w:val="24"/>
              </w:rPr>
              <w:t>，区系过渡性突出、生境敏感性高，野生动物资源具有湿地指示性、迁徙依赖性、珍稀集聚性特征，是洞庭湖区生物多样性保护的关键区段。</w:t>
            </w:r>
          </w:p>
          <w:p w14:paraId="42BEA634">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default" w:eastAsia="宋体"/>
                <w:b/>
                <w:bCs/>
                <w:color w:val="auto"/>
                <w:sz w:val="24"/>
                <w:szCs w:val="24"/>
                <w:lang w:val="en-US" w:eastAsia="zh-CN"/>
              </w:rPr>
            </w:pPr>
            <w:r>
              <w:rPr>
                <w:rFonts w:hint="eastAsia"/>
                <w:b/>
                <w:bCs/>
                <w:color w:val="auto"/>
                <w:sz w:val="24"/>
                <w:szCs w:val="24"/>
                <w:lang w:val="en-US" w:eastAsia="zh-CN"/>
              </w:rPr>
              <w:t>（5）水生动植物分布情况</w:t>
            </w:r>
          </w:p>
          <w:p w14:paraId="713A95F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auto"/>
                <w:sz w:val="24"/>
                <w:szCs w:val="24"/>
                <w:lang w:eastAsia="zh-CN"/>
              </w:rPr>
            </w:pPr>
            <w:r>
              <w:rPr>
                <w:rFonts w:hint="eastAsia"/>
                <w:b w:val="0"/>
                <w:bCs w:val="0"/>
                <w:color w:val="auto"/>
                <w:sz w:val="24"/>
                <w:szCs w:val="24"/>
                <w:lang w:eastAsia="zh-CN"/>
              </w:rPr>
              <w:t>本区地处东洞庭湖沿岸，水域开阔、洲滩湿地密布，水体流速平缓、泥沙有机质含量较高，生境类型复杂多样，为浮游生物、底栖生物、水生维管束植物及鱼类提供优良栖息环境，水生生态群落结构完整，生物多样性较为丰富。</w:t>
            </w:r>
          </w:p>
          <w:p w14:paraId="391D5D3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auto"/>
                <w:sz w:val="24"/>
                <w:szCs w:val="24"/>
                <w:lang w:eastAsia="zh-CN"/>
              </w:rPr>
            </w:pPr>
            <w:r>
              <w:rPr>
                <w:rFonts w:hint="eastAsia"/>
                <w:b w:val="0"/>
                <w:bCs w:val="0"/>
                <w:color w:val="auto"/>
                <w:sz w:val="24"/>
                <w:szCs w:val="24"/>
                <w:lang w:eastAsia="zh-CN"/>
              </w:rPr>
              <w:t>浮游生物方面，区域内浮游植物群落以硅藻门、绿藻门为优势类群，作为水体初级生产力核心组成部分，既是水域食物链基础饵料生物，也可作为水体营养状态的重要指示生物，其群落结构能够直观反映洞庭湖水域水质及营养水平。区域浮游动物资源丰富，主要包含原生动物、轮虫、枝角类、桡足类四大类群，其中轮虫物种占比最高，为水域鱼类幼体提供充足天然饵料，保障水生食物链稳定循环。</w:t>
            </w:r>
          </w:p>
          <w:p w14:paraId="2533BCA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auto"/>
                <w:sz w:val="24"/>
                <w:szCs w:val="24"/>
                <w:lang w:eastAsia="zh-CN"/>
              </w:rPr>
            </w:pPr>
            <w:r>
              <w:rPr>
                <w:rFonts w:hint="eastAsia"/>
                <w:b w:val="0"/>
                <w:bCs w:val="0"/>
                <w:color w:val="auto"/>
                <w:sz w:val="24"/>
                <w:szCs w:val="24"/>
                <w:lang w:eastAsia="zh-CN"/>
              </w:rPr>
              <w:t>底栖无脊椎动物方面，岳阳楼区河湖底质松软，有机质富集，适宜底栖生物繁衍栖息。区域底栖动物种类繁多，以双壳纲、腹足纲为优势类群，辅以昆虫纲、软甲纲、寡毛纲等生物类群，底栖生物能够分解水体底层有机质，净化底质环境，同时为鱼类、水鸟提供食物来源，维持水域底栖生态系统稳定。</w:t>
            </w:r>
          </w:p>
          <w:p w14:paraId="74333FE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auto"/>
                <w:sz w:val="24"/>
                <w:szCs w:val="24"/>
                <w:lang w:eastAsia="zh-CN"/>
              </w:rPr>
            </w:pPr>
            <w:r>
              <w:rPr>
                <w:rFonts w:hint="eastAsia"/>
                <w:b w:val="0"/>
                <w:bCs w:val="0"/>
                <w:color w:val="auto"/>
                <w:sz w:val="24"/>
                <w:szCs w:val="24"/>
                <w:lang w:eastAsia="zh-CN"/>
              </w:rPr>
              <w:t>水生维管束植物方面，区域水生植物生长繁茂，植被群落结构分明，包含挺水植物、漂浮植物、沉水植物、浮叶植物四种生活型，其中挺水植物占比最高。境内优势植物群落主要为芦苇群落、喜旱莲子草群落、狐尾藻群落等，水生植物可净化水体、固持底泥、涵养湿地，为水生动物提供栖息、产卵、避险场所，优化水域生态环境。</w:t>
            </w:r>
          </w:p>
          <w:p w14:paraId="0307864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auto"/>
                <w:sz w:val="24"/>
                <w:szCs w:val="24"/>
                <w:lang w:eastAsia="zh-CN"/>
              </w:rPr>
            </w:pPr>
            <w:r>
              <w:rPr>
                <w:rFonts w:hint="eastAsia"/>
                <w:b w:val="0"/>
                <w:bCs w:val="0"/>
                <w:color w:val="auto"/>
                <w:sz w:val="24"/>
                <w:szCs w:val="24"/>
                <w:lang w:eastAsia="zh-CN"/>
              </w:rPr>
              <w:t>鱼类资源方面，岳阳楼区洞庭湖水域鱼类资源丰富，鱼类群落以鲤形目为绝对优势类群，鲤科鱼类占比最高，其次为鲇形目、鲈形目鱼类，群落结构符合长江中下游淡水湖泊鱼类分布特征。区域内分布有濒危、易危级保护鱼类，同时存有鲫、鲤、鲢、鲇等常见经济型鱼类，渔业资源基础良好。经调查，评价水域无鱼类产卵场、索饵场、越冬场等集中鱼类三场，无固定珍稀鱼类集中栖息繁育区域。</w:t>
            </w:r>
          </w:p>
          <w:p w14:paraId="5F8106D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auto"/>
                <w:sz w:val="24"/>
                <w:szCs w:val="24"/>
                <w:lang w:eastAsia="zh-CN"/>
              </w:rPr>
            </w:pPr>
            <w:r>
              <w:rPr>
                <w:rFonts w:hint="eastAsia"/>
                <w:b w:val="0"/>
                <w:bCs w:val="0"/>
                <w:color w:val="auto"/>
                <w:sz w:val="24"/>
                <w:szCs w:val="24"/>
                <w:lang w:eastAsia="zh-CN"/>
              </w:rPr>
              <w:t>综合来看，依据HJ 19-2022生态评价标准，岳阳楼区水域水生生物群落结构完整、营养层级清晰，湿地水域生境禀赋优越，水生生物保持较高多样性，属于典型的长江中下游淡水湖泊水生生态系统，同时受水文季节性涨落影响，水生生物群落具备显著的湖泊湿地演替特征。</w:t>
            </w:r>
          </w:p>
          <w:p w14:paraId="4C03F5B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auto"/>
                <w:sz w:val="24"/>
                <w:szCs w:val="24"/>
                <w:lang w:eastAsia="zh-CN"/>
              </w:rPr>
            </w:pPr>
            <w:r>
              <w:rPr>
                <w:rFonts w:hint="eastAsia"/>
                <w:b w:val="0"/>
                <w:bCs w:val="0"/>
                <w:color w:val="auto"/>
                <w:sz w:val="24"/>
                <w:szCs w:val="24"/>
                <w:lang w:eastAsia="zh-CN"/>
              </w:rPr>
              <w:t>经调查，评价范围内未发现国家重点保护野生植物、国家级重点保护野生动物及其集中栖息地，无古树名木，无重要生境及“三场一道”。</w:t>
            </w:r>
          </w:p>
          <w:p w14:paraId="0738F3F7">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b/>
                <w:bCs/>
                <w:color w:val="auto"/>
                <w:sz w:val="24"/>
                <w:szCs w:val="24"/>
                <w:lang w:eastAsia="zh-CN"/>
              </w:rPr>
            </w:pPr>
            <w:r>
              <w:rPr>
                <w:rFonts w:hint="eastAsia"/>
                <w:b/>
                <w:bCs/>
                <w:color w:val="auto"/>
                <w:sz w:val="24"/>
                <w:szCs w:val="24"/>
                <w:lang w:eastAsia="zh-CN"/>
              </w:rPr>
              <w:t>（</w:t>
            </w:r>
            <w:r>
              <w:rPr>
                <w:rFonts w:hint="eastAsia"/>
                <w:b/>
                <w:bCs/>
                <w:color w:val="auto"/>
                <w:sz w:val="24"/>
                <w:szCs w:val="24"/>
                <w:lang w:val="en-US" w:eastAsia="zh-CN"/>
              </w:rPr>
              <w:t>6</w:t>
            </w:r>
            <w:r>
              <w:rPr>
                <w:rFonts w:hint="eastAsia"/>
                <w:b/>
                <w:bCs/>
                <w:color w:val="auto"/>
                <w:sz w:val="24"/>
                <w:szCs w:val="24"/>
                <w:lang w:eastAsia="zh-CN"/>
              </w:rPr>
              <w:t>）植被生产力及生物量现状</w:t>
            </w:r>
          </w:p>
          <w:p w14:paraId="6889C70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auto"/>
                <w:sz w:val="24"/>
                <w:szCs w:val="24"/>
                <w:lang w:eastAsia="zh-CN"/>
              </w:rPr>
            </w:pPr>
            <w:r>
              <w:rPr>
                <w:rFonts w:hint="eastAsia"/>
                <w:b w:val="0"/>
                <w:bCs w:val="0"/>
                <w:color w:val="auto"/>
                <w:sz w:val="24"/>
                <w:szCs w:val="24"/>
                <w:lang w:eastAsia="zh-CN"/>
              </w:rPr>
              <w:fldChar w:fldCharType="begin"/>
            </w:r>
            <w:r>
              <w:rPr>
                <w:rFonts w:hint="eastAsia"/>
                <w:b w:val="0"/>
                <w:bCs w:val="0"/>
                <w:color w:val="auto"/>
                <w:sz w:val="24"/>
                <w:szCs w:val="24"/>
                <w:lang w:eastAsia="zh-CN"/>
              </w:rPr>
              <w:instrText xml:space="preserve"> = 1 \* GB3 \* MERGEFORMAT </w:instrText>
            </w:r>
            <w:r>
              <w:rPr>
                <w:rFonts w:hint="eastAsia"/>
                <w:b w:val="0"/>
                <w:bCs w:val="0"/>
                <w:color w:val="auto"/>
                <w:sz w:val="24"/>
                <w:szCs w:val="24"/>
                <w:lang w:eastAsia="zh-CN"/>
              </w:rPr>
              <w:fldChar w:fldCharType="separate"/>
            </w:r>
            <w:r>
              <w:rPr>
                <w:color w:val="auto"/>
              </w:rPr>
              <w:t>①</w:t>
            </w:r>
            <w:r>
              <w:rPr>
                <w:rFonts w:hint="eastAsia"/>
                <w:b w:val="0"/>
                <w:bCs w:val="0"/>
                <w:color w:val="auto"/>
                <w:sz w:val="24"/>
                <w:szCs w:val="24"/>
                <w:lang w:eastAsia="zh-CN"/>
              </w:rPr>
              <w:fldChar w:fldCharType="end"/>
            </w:r>
            <w:r>
              <w:rPr>
                <w:rFonts w:hint="eastAsia"/>
                <w:b w:val="0"/>
                <w:bCs w:val="0"/>
                <w:color w:val="auto"/>
                <w:sz w:val="24"/>
                <w:szCs w:val="24"/>
                <w:lang w:eastAsia="zh-CN"/>
              </w:rPr>
              <w:t>生产力</w:t>
            </w:r>
          </w:p>
          <w:p w14:paraId="3A4ED1CD">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jc w:val="left"/>
              <w:textAlignment w:val="auto"/>
              <w:rPr>
                <w:rFonts w:hint="default"/>
                <w:color w:val="auto"/>
                <w:highlight w:val="none"/>
                <w:lang w:val="en-US" w:eastAsia="zh-CN"/>
              </w:rPr>
            </w:pPr>
            <w:r>
              <w:rPr>
                <w:rFonts w:hint="eastAsia"/>
                <w:color w:val="auto"/>
                <w:highlight w:val="none"/>
                <w:lang w:eastAsia="zh-CN"/>
              </w:rPr>
              <w:t>评价区自然体系生物生产力主要依据卫片解译成果、实地调查以及相关研究资料进行计算。参考国内估算生物生产力时对植被的分类方式，评价区除去建设用地及其他土地外，主要包括森林、灌木林、草地、农田、水域等植被类型。从评价区年净初级生产量看，林地的</w:t>
            </w:r>
            <w:r>
              <w:rPr>
                <w:rFonts w:hint="eastAsia"/>
                <w:color w:val="auto"/>
                <w:highlight w:val="none"/>
                <w:lang w:val="en-US" w:eastAsia="zh-CN"/>
              </w:rPr>
              <w:t>年净初级生产量</w:t>
            </w:r>
            <w:r>
              <w:rPr>
                <w:rFonts w:hint="eastAsia"/>
                <w:color w:val="auto"/>
                <w:highlight w:val="none"/>
                <w:lang w:eastAsia="zh-CN"/>
              </w:rPr>
              <w:t>最高，为</w:t>
            </w:r>
            <w:r>
              <w:rPr>
                <w:rFonts w:hint="eastAsia"/>
                <w:color w:val="auto"/>
                <w:highlight w:val="none"/>
                <w:lang w:val="en-US" w:eastAsia="zh-CN"/>
              </w:rPr>
              <w:t>6502.29t/a</w:t>
            </w:r>
            <w:r>
              <w:rPr>
                <w:rFonts w:hint="eastAsia"/>
                <w:color w:val="auto"/>
                <w:highlight w:val="none"/>
                <w:lang w:eastAsia="zh-CN"/>
              </w:rPr>
              <w:t>，占该评价区的</w:t>
            </w:r>
            <w:r>
              <w:rPr>
                <w:rFonts w:hint="eastAsia"/>
                <w:color w:val="auto"/>
                <w:highlight w:val="none"/>
                <w:lang w:val="en-US" w:eastAsia="zh-CN"/>
              </w:rPr>
              <w:t>53.49%；而农田的年净初级生产量排名第二位，</w:t>
            </w:r>
            <w:r>
              <w:rPr>
                <w:rFonts w:hint="eastAsia"/>
                <w:color w:val="auto"/>
                <w:highlight w:val="none"/>
                <w:lang w:eastAsia="zh-CN"/>
              </w:rPr>
              <w:t>为</w:t>
            </w:r>
            <w:r>
              <w:rPr>
                <w:rFonts w:hint="eastAsia"/>
                <w:color w:val="auto"/>
                <w:highlight w:val="none"/>
                <w:lang w:val="en-US" w:eastAsia="zh-CN"/>
              </w:rPr>
              <w:t>3621.07t/a，</w:t>
            </w:r>
            <w:r>
              <w:rPr>
                <w:rFonts w:hint="eastAsia"/>
                <w:color w:val="auto"/>
                <w:highlight w:val="none"/>
                <w:lang w:eastAsia="zh-CN"/>
              </w:rPr>
              <w:t>占该评价区的</w:t>
            </w:r>
            <w:r>
              <w:rPr>
                <w:rFonts w:hint="eastAsia"/>
                <w:color w:val="auto"/>
                <w:highlight w:val="none"/>
                <w:lang w:val="en-US" w:eastAsia="zh-CN"/>
              </w:rPr>
              <w:t>29.79%。</w:t>
            </w:r>
          </w:p>
          <w:p w14:paraId="23439A0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表3.9 评价区内各植被类型年净初级生产力计算</w:t>
            </w:r>
          </w:p>
          <w:tbl>
            <w:tblPr>
              <w:tblStyle w:val="9"/>
              <w:tblW w:w="8229"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965"/>
              <w:gridCol w:w="1540"/>
              <w:gridCol w:w="1026"/>
              <w:gridCol w:w="1419"/>
              <w:gridCol w:w="1463"/>
              <w:gridCol w:w="1816"/>
            </w:tblGrid>
            <w:tr w14:paraId="7B86FB8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810" w:hRule="atLeast"/>
                <w:jc w:val="center"/>
              </w:trPr>
              <w:tc>
                <w:tcPr>
                  <w:tcW w:w="965" w:type="dxa"/>
                  <w:tcBorders>
                    <w:tl2br w:val="nil"/>
                    <w:tr2bl w:val="nil"/>
                  </w:tcBorders>
                  <w:shd w:val="clear" w:color="auto" w:fill="auto"/>
                  <w:vAlign w:val="center"/>
                </w:tcPr>
                <w:p w14:paraId="20462DC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植被类型</w:t>
                  </w:r>
                </w:p>
              </w:tc>
              <w:tc>
                <w:tcPr>
                  <w:tcW w:w="1540" w:type="dxa"/>
                  <w:tcBorders>
                    <w:tl2br w:val="nil"/>
                    <w:tr2bl w:val="nil"/>
                  </w:tcBorders>
                  <w:shd w:val="clear" w:color="auto" w:fill="auto"/>
                  <w:vAlign w:val="center"/>
                </w:tcPr>
                <w:p w14:paraId="664676F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代表植物</w:t>
                  </w:r>
                </w:p>
              </w:tc>
              <w:tc>
                <w:tcPr>
                  <w:tcW w:w="1026" w:type="dxa"/>
                  <w:tcBorders>
                    <w:tl2br w:val="nil"/>
                    <w:tr2bl w:val="nil"/>
                  </w:tcBorders>
                  <w:shd w:val="clear" w:color="auto" w:fill="auto"/>
                  <w:vAlign w:val="center"/>
                </w:tcPr>
                <w:p w14:paraId="518B319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面积（hm</w:t>
                  </w:r>
                  <w:r>
                    <w:rPr>
                      <w:rFonts w:hint="eastAsia" w:ascii="宋体" w:hAnsi="宋体" w:eastAsia="宋体" w:cs="宋体"/>
                      <w:i w:val="0"/>
                      <w:iCs w:val="0"/>
                      <w:color w:val="auto"/>
                      <w:kern w:val="0"/>
                      <w:sz w:val="22"/>
                      <w:szCs w:val="22"/>
                      <w:u w:val="none"/>
                      <w:vertAlign w:val="superscript"/>
                      <w:lang w:val="en-US" w:eastAsia="zh-CN" w:bidi="ar"/>
                    </w:rPr>
                    <w:t>2</w:t>
                  </w:r>
                  <w:r>
                    <w:rPr>
                      <w:rFonts w:hint="eastAsia" w:ascii="宋体" w:hAnsi="宋体" w:eastAsia="宋体" w:cs="宋体"/>
                      <w:i w:val="0"/>
                      <w:iCs w:val="0"/>
                      <w:color w:val="auto"/>
                      <w:kern w:val="0"/>
                      <w:sz w:val="22"/>
                      <w:szCs w:val="22"/>
                      <w:u w:val="none"/>
                      <w:lang w:val="en-US" w:eastAsia="zh-CN" w:bidi="ar"/>
                    </w:rPr>
                    <w:t>）</w:t>
                  </w:r>
                </w:p>
              </w:tc>
              <w:tc>
                <w:tcPr>
                  <w:tcW w:w="1419" w:type="dxa"/>
                  <w:tcBorders>
                    <w:tl2br w:val="nil"/>
                    <w:tr2bl w:val="nil"/>
                  </w:tcBorders>
                  <w:shd w:val="clear" w:color="auto" w:fill="auto"/>
                  <w:vAlign w:val="center"/>
                </w:tcPr>
                <w:p w14:paraId="5A58B3C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平均净生产力（t/hm</w:t>
                  </w:r>
                  <w:r>
                    <w:rPr>
                      <w:rFonts w:hint="eastAsia" w:ascii="宋体" w:hAnsi="宋体" w:eastAsia="宋体" w:cs="宋体"/>
                      <w:i w:val="0"/>
                      <w:iCs w:val="0"/>
                      <w:color w:val="auto"/>
                      <w:kern w:val="0"/>
                      <w:sz w:val="22"/>
                      <w:szCs w:val="22"/>
                      <w:u w:val="none"/>
                      <w:vertAlign w:val="superscript"/>
                      <w:lang w:val="en-US" w:eastAsia="zh-CN" w:bidi="ar"/>
                    </w:rPr>
                    <w:t>2</w:t>
                  </w:r>
                  <w:r>
                    <w:rPr>
                      <w:rFonts w:hint="eastAsia" w:ascii="宋体" w:hAnsi="宋体" w:eastAsia="宋体" w:cs="宋体"/>
                      <w:i w:val="0"/>
                      <w:iCs w:val="0"/>
                      <w:color w:val="auto"/>
                      <w:kern w:val="0"/>
                      <w:sz w:val="22"/>
                      <w:szCs w:val="22"/>
                      <w:u w:val="none"/>
                      <w:lang w:val="en-US" w:eastAsia="zh-CN" w:bidi="ar"/>
                    </w:rPr>
                    <w:t>.a）</w:t>
                  </w:r>
                </w:p>
              </w:tc>
              <w:tc>
                <w:tcPr>
                  <w:tcW w:w="1463" w:type="dxa"/>
                  <w:tcBorders>
                    <w:tl2br w:val="nil"/>
                    <w:tr2bl w:val="nil"/>
                  </w:tcBorders>
                  <w:shd w:val="clear" w:color="auto" w:fill="auto"/>
                  <w:vAlign w:val="center"/>
                </w:tcPr>
                <w:p w14:paraId="5A693C2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年净初级生产量（t/a）</w:t>
                  </w:r>
                </w:p>
              </w:tc>
              <w:tc>
                <w:tcPr>
                  <w:tcW w:w="1816" w:type="dxa"/>
                  <w:tcBorders>
                    <w:tl2br w:val="nil"/>
                    <w:tr2bl w:val="nil"/>
                  </w:tcBorders>
                  <w:shd w:val="clear" w:color="auto" w:fill="auto"/>
                  <w:vAlign w:val="center"/>
                </w:tcPr>
                <w:p w14:paraId="17676D4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占评价范围总年净初级生产量%</w:t>
                  </w:r>
                </w:p>
              </w:tc>
            </w:tr>
            <w:tr w14:paraId="2BDBFCA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40" w:hRule="atLeast"/>
                <w:jc w:val="center"/>
              </w:trPr>
              <w:tc>
                <w:tcPr>
                  <w:tcW w:w="965" w:type="dxa"/>
                  <w:tcBorders>
                    <w:tl2br w:val="nil"/>
                    <w:tr2bl w:val="nil"/>
                  </w:tcBorders>
                  <w:shd w:val="clear" w:color="auto" w:fill="auto"/>
                  <w:noWrap/>
                  <w:vAlign w:val="center"/>
                </w:tcPr>
                <w:p w14:paraId="45DDD09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林地</w:t>
                  </w:r>
                </w:p>
              </w:tc>
              <w:tc>
                <w:tcPr>
                  <w:tcW w:w="1540" w:type="dxa"/>
                  <w:tcBorders>
                    <w:tl2br w:val="nil"/>
                    <w:tr2bl w:val="nil"/>
                  </w:tcBorders>
                  <w:shd w:val="clear" w:color="auto" w:fill="auto"/>
                  <w:noWrap/>
                  <w:vAlign w:val="center"/>
                </w:tcPr>
                <w:p w14:paraId="00C75D1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樟树、苦槠、青冈、木荷</w:t>
                  </w:r>
                </w:p>
              </w:tc>
              <w:tc>
                <w:tcPr>
                  <w:tcW w:w="1026" w:type="dxa"/>
                  <w:tcBorders>
                    <w:tl2br w:val="nil"/>
                    <w:tr2bl w:val="nil"/>
                  </w:tcBorders>
                  <w:shd w:val="clear" w:color="auto" w:fill="auto"/>
                  <w:noWrap/>
                  <w:vAlign w:val="center"/>
                </w:tcPr>
                <w:p w14:paraId="3E9DFDB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784.35 </w:t>
                  </w:r>
                </w:p>
              </w:tc>
              <w:tc>
                <w:tcPr>
                  <w:tcW w:w="1419" w:type="dxa"/>
                  <w:tcBorders>
                    <w:tl2br w:val="nil"/>
                    <w:tr2bl w:val="nil"/>
                  </w:tcBorders>
                  <w:shd w:val="clear" w:color="auto" w:fill="auto"/>
                  <w:noWrap/>
                  <w:vAlign w:val="center"/>
                </w:tcPr>
                <w:p w14:paraId="1ED4738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8.29</w:t>
                  </w:r>
                </w:p>
              </w:tc>
              <w:tc>
                <w:tcPr>
                  <w:tcW w:w="1463" w:type="dxa"/>
                  <w:tcBorders>
                    <w:tl2br w:val="nil"/>
                    <w:tr2bl w:val="nil"/>
                  </w:tcBorders>
                  <w:shd w:val="clear" w:color="auto" w:fill="auto"/>
                  <w:noWrap/>
                  <w:vAlign w:val="center"/>
                </w:tcPr>
                <w:p w14:paraId="4C667C9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6502.29 </w:t>
                  </w:r>
                </w:p>
              </w:tc>
              <w:tc>
                <w:tcPr>
                  <w:tcW w:w="1816" w:type="dxa"/>
                  <w:tcBorders>
                    <w:tl2br w:val="nil"/>
                    <w:tr2bl w:val="nil"/>
                  </w:tcBorders>
                  <w:shd w:val="clear" w:color="auto" w:fill="auto"/>
                  <w:noWrap/>
                  <w:vAlign w:val="center"/>
                </w:tcPr>
                <w:p w14:paraId="59DD7F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53.49%</w:t>
                  </w:r>
                </w:p>
              </w:tc>
            </w:tr>
            <w:tr w14:paraId="699024F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70" w:hRule="atLeast"/>
                <w:jc w:val="center"/>
              </w:trPr>
              <w:tc>
                <w:tcPr>
                  <w:tcW w:w="965" w:type="dxa"/>
                  <w:tcBorders>
                    <w:tl2br w:val="nil"/>
                    <w:tr2bl w:val="nil"/>
                  </w:tcBorders>
                  <w:shd w:val="clear" w:color="auto" w:fill="auto"/>
                  <w:noWrap/>
                  <w:vAlign w:val="center"/>
                </w:tcPr>
                <w:p w14:paraId="3A53765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灌木林</w:t>
                  </w:r>
                </w:p>
              </w:tc>
              <w:tc>
                <w:tcPr>
                  <w:tcW w:w="1540" w:type="dxa"/>
                  <w:tcBorders>
                    <w:tl2br w:val="nil"/>
                    <w:tr2bl w:val="nil"/>
                  </w:tcBorders>
                  <w:shd w:val="clear" w:color="auto" w:fill="auto"/>
                  <w:noWrap/>
                  <w:vAlign w:val="center"/>
                </w:tcPr>
                <w:p w14:paraId="7BD41AE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檵木、杜鹃、山莓等灌木草丛</w:t>
                  </w:r>
                </w:p>
              </w:tc>
              <w:tc>
                <w:tcPr>
                  <w:tcW w:w="1026" w:type="dxa"/>
                  <w:tcBorders>
                    <w:tl2br w:val="nil"/>
                    <w:tr2bl w:val="nil"/>
                  </w:tcBorders>
                  <w:shd w:val="clear" w:color="auto" w:fill="auto"/>
                  <w:noWrap/>
                  <w:vAlign w:val="center"/>
                </w:tcPr>
                <w:p w14:paraId="0F22A14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41.04 </w:t>
                  </w:r>
                </w:p>
              </w:tc>
              <w:tc>
                <w:tcPr>
                  <w:tcW w:w="1419" w:type="dxa"/>
                  <w:tcBorders>
                    <w:tl2br w:val="nil"/>
                    <w:tr2bl w:val="nil"/>
                  </w:tcBorders>
                  <w:shd w:val="clear" w:color="auto" w:fill="auto"/>
                  <w:noWrap/>
                  <w:vAlign w:val="center"/>
                </w:tcPr>
                <w:p w14:paraId="688DDB1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3.56</w:t>
                  </w:r>
                </w:p>
              </w:tc>
              <w:tc>
                <w:tcPr>
                  <w:tcW w:w="1463" w:type="dxa"/>
                  <w:tcBorders>
                    <w:tl2br w:val="nil"/>
                    <w:tr2bl w:val="nil"/>
                  </w:tcBorders>
                  <w:shd w:val="clear" w:color="auto" w:fill="auto"/>
                  <w:noWrap/>
                  <w:vAlign w:val="center"/>
                </w:tcPr>
                <w:p w14:paraId="66D5177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146.09 </w:t>
                  </w:r>
                </w:p>
              </w:tc>
              <w:tc>
                <w:tcPr>
                  <w:tcW w:w="1816" w:type="dxa"/>
                  <w:tcBorders>
                    <w:tl2br w:val="nil"/>
                    <w:tr2bl w:val="nil"/>
                  </w:tcBorders>
                  <w:shd w:val="clear" w:color="auto" w:fill="auto"/>
                  <w:noWrap/>
                  <w:vAlign w:val="center"/>
                </w:tcPr>
                <w:p w14:paraId="3CF7CC1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1.20%</w:t>
                  </w:r>
                </w:p>
              </w:tc>
            </w:tr>
            <w:tr w14:paraId="14B9BAF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40" w:hRule="atLeast"/>
                <w:jc w:val="center"/>
              </w:trPr>
              <w:tc>
                <w:tcPr>
                  <w:tcW w:w="965" w:type="dxa"/>
                  <w:tcBorders>
                    <w:tl2br w:val="nil"/>
                    <w:tr2bl w:val="nil"/>
                  </w:tcBorders>
                  <w:shd w:val="clear" w:color="auto" w:fill="auto"/>
                  <w:noWrap/>
                  <w:vAlign w:val="center"/>
                </w:tcPr>
                <w:p w14:paraId="103031F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草地</w:t>
                  </w:r>
                </w:p>
              </w:tc>
              <w:tc>
                <w:tcPr>
                  <w:tcW w:w="1540" w:type="dxa"/>
                  <w:tcBorders>
                    <w:tl2br w:val="nil"/>
                    <w:tr2bl w:val="nil"/>
                  </w:tcBorders>
                  <w:shd w:val="clear" w:color="auto" w:fill="auto"/>
                  <w:noWrap/>
                  <w:vAlign w:val="center"/>
                </w:tcPr>
                <w:p w14:paraId="52CCFC4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五节芒、芒萁等杂草草丛</w:t>
                  </w:r>
                </w:p>
              </w:tc>
              <w:tc>
                <w:tcPr>
                  <w:tcW w:w="1026" w:type="dxa"/>
                  <w:tcBorders>
                    <w:tl2br w:val="nil"/>
                    <w:tr2bl w:val="nil"/>
                  </w:tcBorders>
                  <w:shd w:val="clear" w:color="auto" w:fill="auto"/>
                  <w:noWrap/>
                  <w:vAlign w:val="center"/>
                </w:tcPr>
                <w:p w14:paraId="662E0F9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37.98 </w:t>
                  </w:r>
                </w:p>
              </w:tc>
              <w:tc>
                <w:tcPr>
                  <w:tcW w:w="1419" w:type="dxa"/>
                  <w:tcBorders>
                    <w:tl2br w:val="nil"/>
                    <w:tr2bl w:val="nil"/>
                  </w:tcBorders>
                  <w:shd w:val="clear" w:color="auto" w:fill="auto"/>
                  <w:noWrap/>
                  <w:vAlign w:val="center"/>
                </w:tcPr>
                <w:p w14:paraId="05DA898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2.43</w:t>
                  </w:r>
                </w:p>
              </w:tc>
              <w:tc>
                <w:tcPr>
                  <w:tcW w:w="1463" w:type="dxa"/>
                  <w:tcBorders>
                    <w:tl2br w:val="nil"/>
                    <w:tr2bl w:val="nil"/>
                  </w:tcBorders>
                  <w:shd w:val="clear" w:color="auto" w:fill="auto"/>
                  <w:noWrap/>
                  <w:vAlign w:val="center"/>
                </w:tcPr>
                <w:p w14:paraId="2CFBAD8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92.30 </w:t>
                  </w:r>
                </w:p>
              </w:tc>
              <w:tc>
                <w:tcPr>
                  <w:tcW w:w="1816" w:type="dxa"/>
                  <w:tcBorders>
                    <w:tl2br w:val="nil"/>
                    <w:tr2bl w:val="nil"/>
                  </w:tcBorders>
                  <w:shd w:val="clear" w:color="auto" w:fill="auto"/>
                  <w:noWrap/>
                  <w:vAlign w:val="center"/>
                </w:tcPr>
                <w:p w14:paraId="038728D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0.76%</w:t>
                  </w:r>
                </w:p>
              </w:tc>
            </w:tr>
            <w:tr w14:paraId="0A47DB0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70" w:hRule="atLeast"/>
                <w:jc w:val="center"/>
              </w:trPr>
              <w:tc>
                <w:tcPr>
                  <w:tcW w:w="965" w:type="dxa"/>
                  <w:tcBorders>
                    <w:tl2br w:val="nil"/>
                    <w:tr2bl w:val="nil"/>
                  </w:tcBorders>
                  <w:shd w:val="clear" w:color="auto" w:fill="auto"/>
                  <w:noWrap/>
                  <w:vAlign w:val="center"/>
                </w:tcPr>
                <w:p w14:paraId="0510C6B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其它</w:t>
                  </w:r>
                </w:p>
              </w:tc>
              <w:tc>
                <w:tcPr>
                  <w:tcW w:w="1540" w:type="dxa"/>
                  <w:tcBorders>
                    <w:tl2br w:val="nil"/>
                    <w:tr2bl w:val="nil"/>
                  </w:tcBorders>
                  <w:shd w:val="clear" w:color="auto" w:fill="auto"/>
                  <w:noWrap/>
                  <w:vAlign w:val="center"/>
                </w:tcPr>
                <w:p w14:paraId="30B284F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花园、树化带等</w:t>
                  </w:r>
                </w:p>
              </w:tc>
              <w:tc>
                <w:tcPr>
                  <w:tcW w:w="1026" w:type="dxa"/>
                  <w:tcBorders>
                    <w:tl2br w:val="nil"/>
                    <w:tr2bl w:val="nil"/>
                  </w:tcBorders>
                  <w:shd w:val="clear" w:color="auto" w:fill="auto"/>
                  <w:noWrap/>
                  <w:vAlign w:val="center"/>
                </w:tcPr>
                <w:p w14:paraId="1229543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1119.88 </w:t>
                  </w:r>
                </w:p>
              </w:tc>
              <w:tc>
                <w:tcPr>
                  <w:tcW w:w="1419" w:type="dxa"/>
                  <w:tcBorders>
                    <w:tl2br w:val="nil"/>
                    <w:tr2bl w:val="nil"/>
                  </w:tcBorders>
                  <w:shd w:val="clear" w:color="auto" w:fill="auto"/>
                  <w:noWrap/>
                  <w:vAlign w:val="center"/>
                </w:tcPr>
                <w:p w14:paraId="1C4899F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1.27</w:t>
                  </w:r>
                </w:p>
              </w:tc>
              <w:tc>
                <w:tcPr>
                  <w:tcW w:w="1463" w:type="dxa"/>
                  <w:tcBorders>
                    <w:tl2br w:val="nil"/>
                    <w:tr2bl w:val="nil"/>
                  </w:tcBorders>
                  <w:shd w:val="clear" w:color="auto" w:fill="auto"/>
                  <w:noWrap/>
                  <w:vAlign w:val="center"/>
                </w:tcPr>
                <w:p w14:paraId="46D8EA2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1422.24 </w:t>
                  </w:r>
                </w:p>
              </w:tc>
              <w:tc>
                <w:tcPr>
                  <w:tcW w:w="1816" w:type="dxa"/>
                  <w:tcBorders>
                    <w:tl2br w:val="nil"/>
                    <w:tr2bl w:val="nil"/>
                  </w:tcBorders>
                  <w:shd w:val="clear" w:color="auto" w:fill="auto"/>
                  <w:noWrap/>
                  <w:vAlign w:val="center"/>
                </w:tcPr>
                <w:p w14:paraId="524CECE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11.70%</w:t>
                  </w:r>
                </w:p>
              </w:tc>
            </w:tr>
            <w:tr w14:paraId="0E76FDC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40" w:hRule="atLeast"/>
                <w:jc w:val="center"/>
              </w:trPr>
              <w:tc>
                <w:tcPr>
                  <w:tcW w:w="965" w:type="dxa"/>
                  <w:tcBorders>
                    <w:tl2br w:val="nil"/>
                    <w:tr2bl w:val="nil"/>
                  </w:tcBorders>
                  <w:shd w:val="clear" w:color="auto" w:fill="auto"/>
                  <w:noWrap/>
                  <w:vAlign w:val="center"/>
                </w:tcPr>
                <w:p w14:paraId="74A6007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农田</w:t>
                  </w:r>
                </w:p>
              </w:tc>
              <w:tc>
                <w:tcPr>
                  <w:tcW w:w="1540" w:type="dxa"/>
                  <w:tcBorders>
                    <w:tl2br w:val="nil"/>
                    <w:tr2bl w:val="nil"/>
                  </w:tcBorders>
                  <w:shd w:val="clear" w:color="auto" w:fill="auto"/>
                  <w:noWrap/>
                  <w:vAlign w:val="center"/>
                </w:tcPr>
                <w:p w14:paraId="7A29D06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水稻、油菜</w:t>
                  </w:r>
                </w:p>
              </w:tc>
              <w:tc>
                <w:tcPr>
                  <w:tcW w:w="1026" w:type="dxa"/>
                  <w:tcBorders>
                    <w:tl2br w:val="nil"/>
                    <w:tr2bl w:val="nil"/>
                  </w:tcBorders>
                  <w:shd w:val="clear" w:color="auto" w:fill="auto"/>
                  <w:noWrap/>
                  <w:vAlign w:val="center"/>
                </w:tcPr>
                <w:p w14:paraId="6BCBB62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543.70 </w:t>
                  </w:r>
                </w:p>
              </w:tc>
              <w:tc>
                <w:tcPr>
                  <w:tcW w:w="1419" w:type="dxa"/>
                  <w:tcBorders>
                    <w:tl2br w:val="nil"/>
                    <w:tr2bl w:val="nil"/>
                  </w:tcBorders>
                  <w:shd w:val="clear" w:color="auto" w:fill="auto"/>
                  <w:noWrap/>
                  <w:vAlign w:val="center"/>
                </w:tcPr>
                <w:p w14:paraId="3FE8FF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6.66</w:t>
                  </w:r>
                </w:p>
              </w:tc>
              <w:tc>
                <w:tcPr>
                  <w:tcW w:w="1463" w:type="dxa"/>
                  <w:tcBorders>
                    <w:tl2br w:val="nil"/>
                    <w:tr2bl w:val="nil"/>
                  </w:tcBorders>
                  <w:shd w:val="clear" w:color="auto" w:fill="auto"/>
                  <w:noWrap/>
                  <w:vAlign w:val="center"/>
                </w:tcPr>
                <w:p w14:paraId="436ADA9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3621.07 </w:t>
                  </w:r>
                </w:p>
              </w:tc>
              <w:tc>
                <w:tcPr>
                  <w:tcW w:w="1816" w:type="dxa"/>
                  <w:tcBorders>
                    <w:tl2br w:val="nil"/>
                    <w:tr2bl w:val="nil"/>
                  </w:tcBorders>
                  <w:shd w:val="clear" w:color="auto" w:fill="auto"/>
                  <w:noWrap/>
                  <w:vAlign w:val="center"/>
                </w:tcPr>
                <w:p w14:paraId="324DED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29.79%</w:t>
                  </w:r>
                </w:p>
              </w:tc>
            </w:tr>
            <w:tr w14:paraId="2013DF5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40" w:hRule="atLeast"/>
                <w:jc w:val="center"/>
              </w:trPr>
              <w:tc>
                <w:tcPr>
                  <w:tcW w:w="965" w:type="dxa"/>
                  <w:tcBorders>
                    <w:tl2br w:val="nil"/>
                    <w:tr2bl w:val="nil"/>
                  </w:tcBorders>
                  <w:shd w:val="clear" w:color="auto" w:fill="auto"/>
                  <w:noWrap/>
                  <w:vAlign w:val="center"/>
                </w:tcPr>
                <w:p w14:paraId="714F031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水域</w:t>
                  </w:r>
                </w:p>
              </w:tc>
              <w:tc>
                <w:tcPr>
                  <w:tcW w:w="1540" w:type="dxa"/>
                  <w:tcBorders>
                    <w:tl2br w:val="nil"/>
                    <w:tr2bl w:val="nil"/>
                  </w:tcBorders>
                  <w:shd w:val="clear" w:color="auto" w:fill="auto"/>
                  <w:noWrap/>
                  <w:vAlign w:val="center"/>
                </w:tcPr>
                <w:p w14:paraId="3DFE52C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水生植物</w:t>
                  </w:r>
                </w:p>
              </w:tc>
              <w:tc>
                <w:tcPr>
                  <w:tcW w:w="1026" w:type="dxa"/>
                  <w:tcBorders>
                    <w:tl2br w:val="nil"/>
                    <w:tr2bl w:val="nil"/>
                  </w:tcBorders>
                  <w:shd w:val="clear" w:color="auto" w:fill="auto"/>
                  <w:noWrap/>
                  <w:vAlign w:val="center"/>
                </w:tcPr>
                <w:p w14:paraId="5B787EA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226.03 </w:t>
                  </w:r>
                </w:p>
              </w:tc>
              <w:tc>
                <w:tcPr>
                  <w:tcW w:w="1419" w:type="dxa"/>
                  <w:tcBorders>
                    <w:tl2br w:val="nil"/>
                    <w:tr2bl w:val="nil"/>
                  </w:tcBorders>
                  <w:shd w:val="clear" w:color="auto" w:fill="auto"/>
                  <w:noWrap/>
                  <w:vAlign w:val="center"/>
                </w:tcPr>
                <w:p w14:paraId="2ED923E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1.65</w:t>
                  </w:r>
                </w:p>
              </w:tc>
              <w:tc>
                <w:tcPr>
                  <w:tcW w:w="1463" w:type="dxa"/>
                  <w:tcBorders>
                    <w:tl2br w:val="nil"/>
                    <w:tr2bl w:val="nil"/>
                  </w:tcBorders>
                  <w:shd w:val="clear" w:color="auto" w:fill="auto"/>
                  <w:noWrap/>
                  <w:vAlign w:val="center"/>
                </w:tcPr>
                <w:p w14:paraId="1B90019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372.94 </w:t>
                  </w:r>
                </w:p>
              </w:tc>
              <w:tc>
                <w:tcPr>
                  <w:tcW w:w="1816" w:type="dxa"/>
                  <w:tcBorders>
                    <w:tl2br w:val="nil"/>
                    <w:tr2bl w:val="nil"/>
                  </w:tcBorders>
                  <w:shd w:val="clear" w:color="auto" w:fill="auto"/>
                  <w:noWrap/>
                  <w:vAlign w:val="center"/>
                </w:tcPr>
                <w:p w14:paraId="5ABAC1F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3.07%</w:t>
                  </w:r>
                </w:p>
              </w:tc>
            </w:tr>
            <w:tr w14:paraId="0A5EB8F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70" w:hRule="atLeast"/>
                <w:jc w:val="center"/>
              </w:trPr>
              <w:tc>
                <w:tcPr>
                  <w:tcW w:w="965" w:type="dxa"/>
                  <w:tcBorders>
                    <w:tl2br w:val="nil"/>
                    <w:tr2bl w:val="nil"/>
                  </w:tcBorders>
                  <w:shd w:val="clear" w:color="auto" w:fill="auto"/>
                  <w:noWrap/>
                  <w:vAlign w:val="center"/>
                </w:tcPr>
                <w:p w14:paraId="347791C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合计</w:t>
                  </w:r>
                </w:p>
              </w:tc>
              <w:tc>
                <w:tcPr>
                  <w:tcW w:w="1540" w:type="dxa"/>
                  <w:tcBorders>
                    <w:tl2br w:val="nil"/>
                    <w:tr2bl w:val="nil"/>
                  </w:tcBorders>
                  <w:shd w:val="clear" w:color="auto" w:fill="auto"/>
                  <w:noWrap/>
                  <w:vAlign w:val="center"/>
                </w:tcPr>
                <w:p w14:paraId="1D955F46">
                  <w:pPr>
                    <w:jc w:val="center"/>
                    <w:rPr>
                      <w:rFonts w:hint="eastAsia" w:ascii="宋体" w:hAnsi="宋体" w:eastAsia="宋体" w:cs="宋体"/>
                      <w:i w:val="0"/>
                      <w:iCs w:val="0"/>
                      <w:color w:val="auto"/>
                      <w:sz w:val="22"/>
                      <w:szCs w:val="22"/>
                      <w:u w:val="none"/>
                    </w:rPr>
                  </w:pPr>
                </w:p>
              </w:tc>
              <w:tc>
                <w:tcPr>
                  <w:tcW w:w="1026" w:type="dxa"/>
                  <w:tcBorders>
                    <w:tl2br w:val="nil"/>
                    <w:tr2bl w:val="nil"/>
                  </w:tcBorders>
                  <w:shd w:val="clear" w:color="auto" w:fill="auto"/>
                  <w:noWrap/>
                  <w:vAlign w:val="center"/>
                </w:tcPr>
                <w:p w14:paraId="11FEA2C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2752.98 </w:t>
                  </w:r>
                </w:p>
              </w:tc>
              <w:tc>
                <w:tcPr>
                  <w:tcW w:w="1419" w:type="dxa"/>
                  <w:tcBorders>
                    <w:tl2br w:val="nil"/>
                    <w:tr2bl w:val="nil"/>
                  </w:tcBorders>
                  <w:shd w:val="clear" w:color="auto" w:fill="auto"/>
                  <w:noWrap/>
                  <w:vAlign w:val="center"/>
                </w:tcPr>
                <w:p w14:paraId="7822BABB">
                  <w:pPr>
                    <w:jc w:val="center"/>
                    <w:rPr>
                      <w:rFonts w:hint="eastAsia" w:ascii="宋体" w:hAnsi="宋体" w:eastAsia="宋体" w:cs="宋体"/>
                      <w:i w:val="0"/>
                      <w:iCs w:val="0"/>
                      <w:color w:val="auto"/>
                      <w:sz w:val="22"/>
                      <w:szCs w:val="22"/>
                      <w:u w:val="none"/>
                    </w:rPr>
                  </w:pPr>
                </w:p>
              </w:tc>
              <w:tc>
                <w:tcPr>
                  <w:tcW w:w="1463" w:type="dxa"/>
                  <w:tcBorders>
                    <w:tl2br w:val="nil"/>
                    <w:tr2bl w:val="nil"/>
                  </w:tcBorders>
                  <w:shd w:val="clear" w:color="auto" w:fill="auto"/>
                  <w:noWrap/>
                  <w:vAlign w:val="center"/>
                </w:tcPr>
                <w:p w14:paraId="78097D8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12156.94 </w:t>
                  </w:r>
                </w:p>
              </w:tc>
              <w:tc>
                <w:tcPr>
                  <w:tcW w:w="1816" w:type="dxa"/>
                  <w:tcBorders>
                    <w:tl2br w:val="nil"/>
                    <w:tr2bl w:val="nil"/>
                  </w:tcBorders>
                  <w:shd w:val="clear" w:color="auto" w:fill="auto"/>
                  <w:noWrap/>
                  <w:vAlign w:val="center"/>
                </w:tcPr>
                <w:p w14:paraId="6ADE1D7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100.00%</w:t>
                  </w:r>
                </w:p>
              </w:tc>
            </w:tr>
          </w:tbl>
          <w:p w14:paraId="1D3AEF49">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jc w:val="left"/>
              <w:textAlignment w:val="auto"/>
              <w:rPr>
                <w:rFonts w:hint="eastAsia"/>
                <w:b w:val="0"/>
                <w:bCs w:val="0"/>
                <w:color w:val="auto"/>
                <w:sz w:val="24"/>
                <w:szCs w:val="24"/>
                <w:lang w:eastAsia="zh-CN"/>
              </w:rPr>
            </w:pPr>
            <w:r>
              <w:rPr>
                <w:rStyle w:val="27"/>
                <w:rFonts w:hint="eastAsia"/>
                <w:color w:val="auto"/>
                <w:highlight w:val="none"/>
                <w:lang w:eastAsia="zh-CN"/>
              </w:rPr>
              <w:t>注：1）各植被类型平均生产力数据来源于：①冯宗炜，王效科，吴刚．中国森林生态系统的生物量和生产力[M]．北京：科学出版社，1999。②余超，王斌，刘华，等．中国森林植被净生产量级平均生产力动态变化分析[J]．林业科学研究，2014，27（4）：542〜550。③陈雅敏，张韦倩，杨天翔，等。中国不同植被类型净初级生产力变化特征[J]．复旦学报（自然科学报），2012，51（3）：377-381</w:t>
            </w:r>
            <w:r>
              <w:rPr>
                <w:rFonts w:hint="eastAsia"/>
                <w:color w:val="auto"/>
                <w:highlight w:val="none"/>
                <w:lang w:eastAsia="zh-CN"/>
              </w:rPr>
              <w:t>.</w:t>
            </w:r>
          </w:p>
          <w:p w14:paraId="651CD31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lang w:eastAsia="zh-CN"/>
              </w:rPr>
            </w:pPr>
            <w:r>
              <w:rPr>
                <w:rFonts w:hint="eastAsia" w:ascii="宋体" w:hAnsi="宋体" w:eastAsia="宋体" w:cs="宋体"/>
                <w:b w:val="0"/>
                <w:bCs w:val="0"/>
                <w:color w:val="auto"/>
                <w:sz w:val="24"/>
                <w:szCs w:val="24"/>
                <w:lang w:eastAsia="zh-CN"/>
              </w:rPr>
              <w:fldChar w:fldCharType="begin"/>
            </w:r>
            <w:r>
              <w:rPr>
                <w:rFonts w:hint="eastAsia" w:ascii="宋体" w:hAnsi="宋体" w:eastAsia="宋体" w:cs="宋体"/>
                <w:b w:val="0"/>
                <w:bCs w:val="0"/>
                <w:color w:val="auto"/>
                <w:sz w:val="24"/>
                <w:szCs w:val="24"/>
                <w:lang w:eastAsia="zh-CN"/>
              </w:rPr>
              <w:instrText xml:space="preserve"> = 2 \* GB3 \* MERGEFORMAT </w:instrText>
            </w:r>
            <w:r>
              <w:rPr>
                <w:rFonts w:hint="eastAsia" w:ascii="宋体" w:hAnsi="宋体" w:eastAsia="宋体" w:cs="宋体"/>
                <w:b w:val="0"/>
                <w:bCs w:val="0"/>
                <w:color w:val="auto"/>
                <w:sz w:val="24"/>
                <w:szCs w:val="24"/>
                <w:lang w:eastAsia="zh-CN"/>
              </w:rPr>
              <w:fldChar w:fldCharType="separate"/>
            </w:r>
            <w:r>
              <w:rPr>
                <w:rFonts w:hint="eastAsia" w:ascii="宋体" w:hAnsi="宋体" w:eastAsia="宋体" w:cs="宋体"/>
                <w:color w:val="auto"/>
                <w:sz w:val="24"/>
                <w:szCs w:val="24"/>
              </w:rPr>
              <w:t>②</w:t>
            </w:r>
            <w:r>
              <w:rPr>
                <w:rFonts w:hint="eastAsia" w:ascii="宋体" w:hAnsi="宋体" w:eastAsia="宋体" w:cs="宋体"/>
                <w:b w:val="0"/>
                <w:bCs w:val="0"/>
                <w:color w:val="auto"/>
                <w:sz w:val="24"/>
                <w:szCs w:val="24"/>
                <w:lang w:eastAsia="zh-CN"/>
              </w:rPr>
              <w:fldChar w:fldCharType="end"/>
            </w:r>
            <w:r>
              <w:rPr>
                <w:rFonts w:hint="eastAsia" w:ascii="宋体" w:hAnsi="宋体" w:eastAsia="宋体" w:cs="宋体"/>
                <w:color w:val="auto"/>
                <w:sz w:val="24"/>
                <w:szCs w:val="24"/>
                <w:highlight w:val="none"/>
                <w:lang w:eastAsia="zh-CN"/>
              </w:rPr>
              <w:t>生物量</w:t>
            </w:r>
          </w:p>
          <w:p w14:paraId="2C1CFFA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根据评价区各类土地的现状调查数据，以森林、灌木林、草丛、农田和水域等的生物量及耕地的近年平均粮食产量等参数来推算其实际生物量。评价区自然体系生物量现状见下表。</w:t>
            </w:r>
          </w:p>
          <w:p w14:paraId="17D93F90">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表3.10 评价区内各生态类型的生物量</w:t>
            </w:r>
          </w:p>
          <w:tbl>
            <w:tblPr>
              <w:tblStyle w:val="9"/>
              <w:tblW w:w="8229"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965"/>
              <w:gridCol w:w="2087"/>
              <w:gridCol w:w="1428"/>
              <w:gridCol w:w="1295"/>
              <w:gridCol w:w="1212"/>
              <w:gridCol w:w="1242"/>
            </w:tblGrid>
            <w:tr w14:paraId="7B4CC53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PrEx>
              <w:trPr>
                <w:trHeight w:val="810" w:hRule="atLeast"/>
                <w:jc w:val="center"/>
              </w:trPr>
              <w:tc>
                <w:tcPr>
                  <w:tcW w:w="965" w:type="dxa"/>
                  <w:tcBorders>
                    <w:tl2br w:val="nil"/>
                    <w:tr2bl w:val="nil"/>
                  </w:tcBorders>
                  <w:shd w:val="clear" w:color="auto" w:fill="auto"/>
                  <w:vAlign w:val="center"/>
                </w:tcPr>
                <w:p w14:paraId="1017F9C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植被类型</w:t>
                  </w:r>
                </w:p>
              </w:tc>
              <w:tc>
                <w:tcPr>
                  <w:tcW w:w="2087" w:type="dxa"/>
                  <w:tcBorders>
                    <w:tl2br w:val="nil"/>
                    <w:tr2bl w:val="nil"/>
                  </w:tcBorders>
                  <w:shd w:val="clear" w:color="auto" w:fill="auto"/>
                  <w:vAlign w:val="center"/>
                </w:tcPr>
                <w:p w14:paraId="4DDE69A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代表植物</w:t>
                  </w:r>
                </w:p>
              </w:tc>
              <w:tc>
                <w:tcPr>
                  <w:tcW w:w="1428" w:type="dxa"/>
                  <w:tcBorders>
                    <w:tl2br w:val="nil"/>
                    <w:tr2bl w:val="nil"/>
                  </w:tcBorders>
                  <w:shd w:val="clear" w:color="auto" w:fill="auto"/>
                  <w:vAlign w:val="center"/>
                </w:tcPr>
                <w:p w14:paraId="2885A70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面积（hm</w:t>
                  </w:r>
                  <w:r>
                    <w:rPr>
                      <w:rFonts w:hint="eastAsia" w:ascii="宋体" w:hAnsi="宋体" w:eastAsia="宋体" w:cs="宋体"/>
                      <w:i w:val="0"/>
                      <w:iCs w:val="0"/>
                      <w:color w:val="auto"/>
                      <w:kern w:val="0"/>
                      <w:sz w:val="22"/>
                      <w:szCs w:val="22"/>
                      <w:u w:val="none"/>
                      <w:vertAlign w:val="superscript"/>
                      <w:lang w:val="en-US" w:eastAsia="zh-CN" w:bidi="ar"/>
                    </w:rPr>
                    <w:t>2</w:t>
                  </w:r>
                  <w:r>
                    <w:rPr>
                      <w:rFonts w:hint="eastAsia" w:ascii="宋体" w:hAnsi="宋体" w:eastAsia="宋体" w:cs="宋体"/>
                      <w:i w:val="0"/>
                      <w:iCs w:val="0"/>
                      <w:color w:val="auto"/>
                      <w:kern w:val="0"/>
                      <w:sz w:val="22"/>
                      <w:szCs w:val="22"/>
                      <w:u w:val="none"/>
                      <w:lang w:val="en-US" w:eastAsia="zh-CN" w:bidi="ar"/>
                    </w:rPr>
                    <w:t>）</w:t>
                  </w:r>
                </w:p>
              </w:tc>
              <w:tc>
                <w:tcPr>
                  <w:tcW w:w="1295" w:type="dxa"/>
                  <w:tcBorders>
                    <w:tl2br w:val="nil"/>
                    <w:tr2bl w:val="nil"/>
                  </w:tcBorders>
                  <w:shd w:val="clear" w:color="auto" w:fill="auto"/>
                  <w:vAlign w:val="center"/>
                </w:tcPr>
                <w:p w14:paraId="6C86B6FD">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平均生物量（t/hm</w:t>
                  </w:r>
                  <w:r>
                    <w:rPr>
                      <w:rFonts w:hint="eastAsia" w:ascii="宋体" w:hAnsi="宋体" w:eastAsia="宋体" w:cs="宋体"/>
                      <w:i w:val="0"/>
                      <w:iCs w:val="0"/>
                      <w:color w:val="auto"/>
                      <w:kern w:val="0"/>
                      <w:sz w:val="22"/>
                      <w:szCs w:val="22"/>
                      <w:u w:val="none"/>
                      <w:vertAlign w:val="superscript"/>
                      <w:lang w:val="en-US" w:eastAsia="zh-CN" w:bidi="ar"/>
                    </w:rPr>
                    <w:t>2</w:t>
                  </w:r>
                  <w:r>
                    <w:rPr>
                      <w:rFonts w:hint="eastAsia" w:ascii="宋体" w:hAnsi="宋体" w:eastAsia="宋体" w:cs="宋体"/>
                      <w:i w:val="0"/>
                      <w:iCs w:val="0"/>
                      <w:color w:val="auto"/>
                      <w:kern w:val="0"/>
                      <w:sz w:val="22"/>
                      <w:szCs w:val="22"/>
                      <w:u w:val="none"/>
                      <w:lang w:val="en-US" w:eastAsia="zh-CN" w:bidi="ar"/>
                    </w:rPr>
                    <w:t>）</w:t>
                  </w:r>
                </w:p>
              </w:tc>
              <w:tc>
                <w:tcPr>
                  <w:tcW w:w="1212" w:type="dxa"/>
                  <w:tcBorders>
                    <w:tl2br w:val="nil"/>
                    <w:tr2bl w:val="nil"/>
                  </w:tcBorders>
                  <w:shd w:val="clear" w:color="auto" w:fill="auto"/>
                  <w:vAlign w:val="center"/>
                </w:tcPr>
                <w:p w14:paraId="7931D281">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生物量（t）</w:t>
                  </w:r>
                </w:p>
              </w:tc>
              <w:tc>
                <w:tcPr>
                  <w:tcW w:w="1242" w:type="dxa"/>
                  <w:tcBorders>
                    <w:tl2br w:val="nil"/>
                    <w:tr2bl w:val="nil"/>
                  </w:tcBorders>
                  <w:shd w:val="clear" w:color="auto" w:fill="auto"/>
                  <w:vAlign w:val="center"/>
                </w:tcPr>
                <w:p w14:paraId="5413840D">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占生物量%</w:t>
                  </w:r>
                </w:p>
              </w:tc>
            </w:tr>
            <w:tr w14:paraId="1D69FBA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40" w:hRule="atLeast"/>
                <w:jc w:val="center"/>
              </w:trPr>
              <w:tc>
                <w:tcPr>
                  <w:tcW w:w="965" w:type="dxa"/>
                  <w:tcBorders>
                    <w:tl2br w:val="nil"/>
                    <w:tr2bl w:val="nil"/>
                  </w:tcBorders>
                  <w:shd w:val="clear" w:color="auto" w:fill="auto"/>
                  <w:noWrap/>
                  <w:vAlign w:val="center"/>
                </w:tcPr>
                <w:p w14:paraId="54F5330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林地</w:t>
                  </w:r>
                </w:p>
              </w:tc>
              <w:tc>
                <w:tcPr>
                  <w:tcW w:w="2087" w:type="dxa"/>
                  <w:tcBorders>
                    <w:tl2br w:val="nil"/>
                    <w:tr2bl w:val="nil"/>
                  </w:tcBorders>
                  <w:shd w:val="clear" w:color="auto" w:fill="auto"/>
                  <w:noWrap/>
                  <w:vAlign w:val="center"/>
                </w:tcPr>
                <w:p w14:paraId="572DDC3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含檵木、映山红的马尾松林</w:t>
                  </w:r>
                </w:p>
              </w:tc>
              <w:tc>
                <w:tcPr>
                  <w:tcW w:w="1428" w:type="dxa"/>
                  <w:tcBorders>
                    <w:tl2br w:val="nil"/>
                    <w:tr2bl w:val="nil"/>
                  </w:tcBorders>
                  <w:shd w:val="clear" w:color="auto" w:fill="auto"/>
                  <w:noWrap/>
                  <w:vAlign w:val="center"/>
                </w:tcPr>
                <w:p w14:paraId="34B244F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784.35 </w:t>
                  </w:r>
                </w:p>
              </w:tc>
              <w:tc>
                <w:tcPr>
                  <w:tcW w:w="1295" w:type="dxa"/>
                  <w:tcBorders>
                    <w:tl2br w:val="nil"/>
                    <w:tr2bl w:val="nil"/>
                  </w:tcBorders>
                  <w:shd w:val="clear" w:color="auto" w:fill="auto"/>
                  <w:noWrap/>
                  <w:vAlign w:val="center"/>
                </w:tcPr>
                <w:p w14:paraId="240658B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87.22</w:t>
                  </w:r>
                </w:p>
              </w:tc>
              <w:tc>
                <w:tcPr>
                  <w:tcW w:w="1212" w:type="dxa"/>
                  <w:tcBorders>
                    <w:tl2br w:val="nil"/>
                    <w:tr2bl w:val="nil"/>
                  </w:tcBorders>
                  <w:shd w:val="clear" w:color="auto" w:fill="auto"/>
                  <w:noWrap/>
                  <w:vAlign w:val="center"/>
                </w:tcPr>
                <w:p w14:paraId="7D18716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68411.27 </w:t>
                  </w:r>
                </w:p>
              </w:tc>
              <w:tc>
                <w:tcPr>
                  <w:tcW w:w="1242" w:type="dxa"/>
                  <w:tcBorders>
                    <w:tl2br w:val="nil"/>
                    <w:tr2bl w:val="nil"/>
                  </w:tcBorders>
                  <w:shd w:val="clear" w:color="auto" w:fill="auto"/>
                  <w:noWrap/>
                  <w:vAlign w:val="center"/>
                </w:tcPr>
                <w:p w14:paraId="18F4450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92.59%</w:t>
                  </w:r>
                </w:p>
              </w:tc>
            </w:tr>
            <w:tr w14:paraId="3D7E3ED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965" w:type="dxa"/>
                  <w:tcBorders>
                    <w:tl2br w:val="nil"/>
                    <w:tr2bl w:val="nil"/>
                  </w:tcBorders>
                  <w:shd w:val="clear" w:color="auto" w:fill="auto"/>
                  <w:noWrap/>
                  <w:vAlign w:val="center"/>
                </w:tcPr>
                <w:p w14:paraId="666ABDE2">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灌木林</w:t>
                  </w:r>
                </w:p>
              </w:tc>
              <w:tc>
                <w:tcPr>
                  <w:tcW w:w="2087" w:type="dxa"/>
                  <w:tcBorders>
                    <w:tl2br w:val="nil"/>
                    <w:tr2bl w:val="nil"/>
                  </w:tcBorders>
                  <w:shd w:val="clear" w:color="auto" w:fill="auto"/>
                  <w:noWrap/>
                  <w:vAlign w:val="center"/>
                </w:tcPr>
                <w:p w14:paraId="5AB6E4A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构树、映山红</w:t>
                  </w:r>
                </w:p>
              </w:tc>
              <w:tc>
                <w:tcPr>
                  <w:tcW w:w="1428" w:type="dxa"/>
                  <w:tcBorders>
                    <w:tl2br w:val="nil"/>
                    <w:tr2bl w:val="nil"/>
                  </w:tcBorders>
                  <w:shd w:val="clear" w:color="auto" w:fill="auto"/>
                  <w:noWrap/>
                  <w:vAlign w:val="center"/>
                </w:tcPr>
                <w:p w14:paraId="3273F54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41.04 </w:t>
                  </w:r>
                </w:p>
              </w:tc>
              <w:tc>
                <w:tcPr>
                  <w:tcW w:w="1295" w:type="dxa"/>
                  <w:tcBorders>
                    <w:tl2br w:val="nil"/>
                    <w:tr2bl w:val="nil"/>
                  </w:tcBorders>
                  <w:shd w:val="clear" w:color="auto" w:fill="auto"/>
                  <w:noWrap/>
                  <w:vAlign w:val="center"/>
                </w:tcPr>
                <w:p w14:paraId="7A97986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21.02</w:t>
                  </w:r>
                </w:p>
              </w:tc>
              <w:tc>
                <w:tcPr>
                  <w:tcW w:w="1212" w:type="dxa"/>
                  <w:tcBorders>
                    <w:tl2br w:val="nil"/>
                    <w:tr2bl w:val="nil"/>
                  </w:tcBorders>
                  <w:shd w:val="clear" w:color="auto" w:fill="auto"/>
                  <w:noWrap/>
                  <w:vAlign w:val="center"/>
                </w:tcPr>
                <w:p w14:paraId="256CC6B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862.62 </w:t>
                  </w:r>
                </w:p>
              </w:tc>
              <w:tc>
                <w:tcPr>
                  <w:tcW w:w="1242" w:type="dxa"/>
                  <w:tcBorders>
                    <w:tl2br w:val="nil"/>
                    <w:tr2bl w:val="nil"/>
                  </w:tcBorders>
                  <w:shd w:val="clear" w:color="auto" w:fill="auto"/>
                  <w:noWrap/>
                  <w:vAlign w:val="center"/>
                </w:tcPr>
                <w:p w14:paraId="6BF53E8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1.17%</w:t>
                  </w:r>
                </w:p>
              </w:tc>
            </w:tr>
            <w:tr w14:paraId="45B4807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40" w:hRule="atLeast"/>
                <w:jc w:val="center"/>
              </w:trPr>
              <w:tc>
                <w:tcPr>
                  <w:tcW w:w="965" w:type="dxa"/>
                  <w:tcBorders>
                    <w:tl2br w:val="nil"/>
                    <w:tr2bl w:val="nil"/>
                  </w:tcBorders>
                  <w:shd w:val="clear" w:color="auto" w:fill="auto"/>
                  <w:noWrap/>
                  <w:vAlign w:val="center"/>
                </w:tcPr>
                <w:p w14:paraId="76EDD2F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草地</w:t>
                  </w:r>
                </w:p>
              </w:tc>
              <w:tc>
                <w:tcPr>
                  <w:tcW w:w="2087" w:type="dxa"/>
                  <w:tcBorders>
                    <w:tl2br w:val="nil"/>
                    <w:tr2bl w:val="nil"/>
                  </w:tcBorders>
                  <w:shd w:val="clear" w:color="auto" w:fill="auto"/>
                  <w:noWrap/>
                  <w:vAlign w:val="center"/>
                </w:tcPr>
                <w:p w14:paraId="35AE91B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苍耳、狗尾草</w:t>
                  </w:r>
                </w:p>
              </w:tc>
              <w:tc>
                <w:tcPr>
                  <w:tcW w:w="1428" w:type="dxa"/>
                  <w:tcBorders>
                    <w:tl2br w:val="nil"/>
                    <w:tr2bl w:val="nil"/>
                  </w:tcBorders>
                  <w:shd w:val="clear" w:color="auto" w:fill="auto"/>
                  <w:noWrap/>
                  <w:vAlign w:val="center"/>
                </w:tcPr>
                <w:p w14:paraId="2D89B19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37.98 </w:t>
                  </w:r>
                </w:p>
              </w:tc>
              <w:tc>
                <w:tcPr>
                  <w:tcW w:w="1295" w:type="dxa"/>
                  <w:tcBorders>
                    <w:tl2br w:val="nil"/>
                    <w:tr2bl w:val="nil"/>
                  </w:tcBorders>
                  <w:shd w:val="clear" w:color="auto" w:fill="auto"/>
                  <w:noWrap/>
                  <w:vAlign w:val="center"/>
                </w:tcPr>
                <w:p w14:paraId="7701604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4.86</w:t>
                  </w:r>
                </w:p>
              </w:tc>
              <w:tc>
                <w:tcPr>
                  <w:tcW w:w="1212" w:type="dxa"/>
                  <w:tcBorders>
                    <w:tl2br w:val="nil"/>
                    <w:tr2bl w:val="nil"/>
                  </w:tcBorders>
                  <w:shd w:val="clear" w:color="auto" w:fill="auto"/>
                  <w:noWrap/>
                  <w:vAlign w:val="center"/>
                </w:tcPr>
                <w:p w14:paraId="6725D9F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184.59 </w:t>
                  </w:r>
                </w:p>
              </w:tc>
              <w:tc>
                <w:tcPr>
                  <w:tcW w:w="1242" w:type="dxa"/>
                  <w:tcBorders>
                    <w:tl2br w:val="nil"/>
                    <w:tr2bl w:val="nil"/>
                  </w:tcBorders>
                  <w:shd w:val="clear" w:color="auto" w:fill="auto"/>
                  <w:noWrap/>
                  <w:vAlign w:val="center"/>
                </w:tcPr>
                <w:p w14:paraId="654F0A2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0.25%</w:t>
                  </w:r>
                </w:p>
              </w:tc>
            </w:tr>
            <w:tr w14:paraId="742A2BE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70" w:hRule="atLeast"/>
                <w:jc w:val="center"/>
              </w:trPr>
              <w:tc>
                <w:tcPr>
                  <w:tcW w:w="965" w:type="dxa"/>
                  <w:tcBorders>
                    <w:tl2br w:val="nil"/>
                    <w:tr2bl w:val="nil"/>
                  </w:tcBorders>
                  <w:shd w:val="clear" w:color="auto" w:fill="auto"/>
                  <w:noWrap/>
                  <w:vAlign w:val="center"/>
                </w:tcPr>
                <w:p w14:paraId="09110B9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其它</w:t>
                  </w:r>
                </w:p>
              </w:tc>
              <w:tc>
                <w:tcPr>
                  <w:tcW w:w="2087" w:type="dxa"/>
                  <w:tcBorders>
                    <w:tl2br w:val="nil"/>
                    <w:tr2bl w:val="nil"/>
                  </w:tcBorders>
                  <w:shd w:val="clear" w:color="auto" w:fill="auto"/>
                  <w:noWrap/>
                  <w:vAlign w:val="center"/>
                </w:tcPr>
                <w:p w14:paraId="356CAAD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花园、树化带等</w:t>
                  </w:r>
                </w:p>
              </w:tc>
              <w:tc>
                <w:tcPr>
                  <w:tcW w:w="1428" w:type="dxa"/>
                  <w:tcBorders>
                    <w:tl2br w:val="nil"/>
                    <w:tr2bl w:val="nil"/>
                  </w:tcBorders>
                  <w:shd w:val="clear" w:color="auto" w:fill="auto"/>
                  <w:noWrap/>
                  <w:vAlign w:val="center"/>
                </w:tcPr>
                <w:p w14:paraId="5E03622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1119.88 </w:t>
                  </w:r>
                </w:p>
              </w:tc>
              <w:tc>
                <w:tcPr>
                  <w:tcW w:w="1295" w:type="dxa"/>
                  <w:tcBorders>
                    <w:tl2br w:val="nil"/>
                    <w:tr2bl w:val="nil"/>
                  </w:tcBorders>
                  <w:shd w:val="clear" w:color="auto" w:fill="auto"/>
                  <w:noWrap/>
                  <w:vAlign w:val="center"/>
                </w:tcPr>
                <w:p w14:paraId="127F2A1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0.97</w:t>
                  </w:r>
                </w:p>
              </w:tc>
              <w:tc>
                <w:tcPr>
                  <w:tcW w:w="1212" w:type="dxa"/>
                  <w:tcBorders>
                    <w:tl2br w:val="nil"/>
                    <w:tr2bl w:val="nil"/>
                  </w:tcBorders>
                  <w:shd w:val="clear" w:color="auto" w:fill="auto"/>
                  <w:noWrap/>
                  <w:vAlign w:val="center"/>
                </w:tcPr>
                <w:p w14:paraId="10B29CC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1086.28 </w:t>
                  </w:r>
                </w:p>
              </w:tc>
              <w:tc>
                <w:tcPr>
                  <w:tcW w:w="1242" w:type="dxa"/>
                  <w:tcBorders>
                    <w:tl2br w:val="nil"/>
                    <w:tr2bl w:val="nil"/>
                  </w:tcBorders>
                  <w:shd w:val="clear" w:color="auto" w:fill="auto"/>
                  <w:noWrap/>
                  <w:vAlign w:val="center"/>
                </w:tcPr>
                <w:p w14:paraId="6A00C91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1.47%</w:t>
                  </w:r>
                </w:p>
              </w:tc>
            </w:tr>
            <w:tr w14:paraId="768FB2A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40" w:hRule="atLeast"/>
                <w:jc w:val="center"/>
              </w:trPr>
              <w:tc>
                <w:tcPr>
                  <w:tcW w:w="965" w:type="dxa"/>
                  <w:tcBorders>
                    <w:tl2br w:val="nil"/>
                    <w:tr2bl w:val="nil"/>
                  </w:tcBorders>
                  <w:shd w:val="clear" w:color="auto" w:fill="auto"/>
                  <w:noWrap/>
                  <w:vAlign w:val="center"/>
                </w:tcPr>
                <w:p w14:paraId="5B43CBA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农田</w:t>
                  </w:r>
                </w:p>
              </w:tc>
              <w:tc>
                <w:tcPr>
                  <w:tcW w:w="2087" w:type="dxa"/>
                  <w:tcBorders>
                    <w:tl2br w:val="nil"/>
                    <w:tr2bl w:val="nil"/>
                  </w:tcBorders>
                  <w:shd w:val="clear" w:color="auto" w:fill="auto"/>
                  <w:noWrap/>
                  <w:vAlign w:val="center"/>
                </w:tcPr>
                <w:p w14:paraId="3DC57EF5">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水稻、油菜</w:t>
                  </w:r>
                </w:p>
              </w:tc>
              <w:tc>
                <w:tcPr>
                  <w:tcW w:w="1428" w:type="dxa"/>
                  <w:tcBorders>
                    <w:tl2br w:val="nil"/>
                    <w:tr2bl w:val="nil"/>
                  </w:tcBorders>
                  <w:shd w:val="clear" w:color="auto" w:fill="auto"/>
                  <w:noWrap/>
                  <w:vAlign w:val="center"/>
                </w:tcPr>
                <w:p w14:paraId="57E9BA9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543.70 </w:t>
                  </w:r>
                </w:p>
              </w:tc>
              <w:tc>
                <w:tcPr>
                  <w:tcW w:w="1295" w:type="dxa"/>
                  <w:tcBorders>
                    <w:tl2br w:val="nil"/>
                    <w:tr2bl w:val="nil"/>
                  </w:tcBorders>
                  <w:shd w:val="clear" w:color="auto" w:fill="auto"/>
                  <w:noWrap/>
                  <w:vAlign w:val="center"/>
                </w:tcPr>
                <w:p w14:paraId="130855C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5.62</w:t>
                  </w:r>
                </w:p>
              </w:tc>
              <w:tc>
                <w:tcPr>
                  <w:tcW w:w="1212" w:type="dxa"/>
                  <w:tcBorders>
                    <w:tl2br w:val="nil"/>
                    <w:tr2bl w:val="nil"/>
                  </w:tcBorders>
                  <w:shd w:val="clear" w:color="auto" w:fill="auto"/>
                  <w:noWrap/>
                  <w:vAlign w:val="center"/>
                </w:tcPr>
                <w:p w14:paraId="3DFAA8E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3055.62 </w:t>
                  </w:r>
                </w:p>
              </w:tc>
              <w:tc>
                <w:tcPr>
                  <w:tcW w:w="1242" w:type="dxa"/>
                  <w:tcBorders>
                    <w:tl2br w:val="nil"/>
                    <w:tr2bl w:val="nil"/>
                  </w:tcBorders>
                  <w:shd w:val="clear" w:color="auto" w:fill="auto"/>
                  <w:noWrap/>
                  <w:vAlign w:val="center"/>
                </w:tcPr>
                <w:p w14:paraId="3718C5D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4.14%</w:t>
                  </w:r>
                </w:p>
              </w:tc>
            </w:tr>
            <w:tr w14:paraId="35C22E5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40" w:hRule="atLeast"/>
                <w:jc w:val="center"/>
              </w:trPr>
              <w:tc>
                <w:tcPr>
                  <w:tcW w:w="965" w:type="dxa"/>
                  <w:tcBorders>
                    <w:tl2br w:val="nil"/>
                    <w:tr2bl w:val="nil"/>
                  </w:tcBorders>
                  <w:shd w:val="clear" w:color="auto" w:fill="auto"/>
                  <w:noWrap/>
                  <w:vAlign w:val="center"/>
                </w:tcPr>
                <w:p w14:paraId="0B10EF8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水域</w:t>
                  </w:r>
                </w:p>
              </w:tc>
              <w:tc>
                <w:tcPr>
                  <w:tcW w:w="2087" w:type="dxa"/>
                  <w:tcBorders>
                    <w:tl2br w:val="nil"/>
                    <w:tr2bl w:val="nil"/>
                  </w:tcBorders>
                  <w:shd w:val="clear" w:color="auto" w:fill="auto"/>
                  <w:noWrap/>
                  <w:vAlign w:val="center"/>
                </w:tcPr>
                <w:p w14:paraId="69472AE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水生植物</w:t>
                  </w:r>
                </w:p>
              </w:tc>
              <w:tc>
                <w:tcPr>
                  <w:tcW w:w="1428" w:type="dxa"/>
                  <w:tcBorders>
                    <w:tl2br w:val="nil"/>
                    <w:tr2bl w:val="nil"/>
                  </w:tcBorders>
                  <w:shd w:val="clear" w:color="auto" w:fill="auto"/>
                  <w:noWrap/>
                  <w:vAlign w:val="center"/>
                </w:tcPr>
                <w:p w14:paraId="4C4BC9C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226.03 </w:t>
                  </w:r>
                </w:p>
              </w:tc>
              <w:tc>
                <w:tcPr>
                  <w:tcW w:w="1295" w:type="dxa"/>
                  <w:tcBorders>
                    <w:tl2br w:val="nil"/>
                    <w:tr2bl w:val="nil"/>
                  </w:tcBorders>
                  <w:shd w:val="clear" w:color="auto" w:fill="auto"/>
                  <w:noWrap/>
                  <w:vAlign w:val="center"/>
                </w:tcPr>
                <w:p w14:paraId="2ABF8EC9">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1.28</w:t>
                  </w:r>
                </w:p>
              </w:tc>
              <w:tc>
                <w:tcPr>
                  <w:tcW w:w="1212" w:type="dxa"/>
                  <w:tcBorders>
                    <w:tl2br w:val="nil"/>
                    <w:tr2bl w:val="nil"/>
                  </w:tcBorders>
                  <w:shd w:val="clear" w:color="auto" w:fill="auto"/>
                  <w:noWrap/>
                  <w:vAlign w:val="center"/>
                </w:tcPr>
                <w:p w14:paraId="70B1B49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289.31 </w:t>
                  </w:r>
                </w:p>
              </w:tc>
              <w:tc>
                <w:tcPr>
                  <w:tcW w:w="1242" w:type="dxa"/>
                  <w:tcBorders>
                    <w:tl2br w:val="nil"/>
                    <w:tr2bl w:val="nil"/>
                  </w:tcBorders>
                  <w:shd w:val="clear" w:color="auto" w:fill="auto"/>
                  <w:noWrap/>
                  <w:vAlign w:val="center"/>
                </w:tcPr>
                <w:p w14:paraId="1A9DCD1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0.39%</w:t>
                  </w:r>
                </w:p>
              </w:tc>
            </w:tr>
            <w:tr w14:paraId="3781213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70" w:hRule="atLeast"/>
                <w:jc w:val="center"/>
              </w:trPr>
              <w:tc>
                <w:tcPr>
                  <w:tcW w:w="965" w:type="dxa"/>
                  <w:tcBorders>
                    <w:tl2br w:val="nil"/>
                    <w:tr2bl w:val="nil"/>
                  </w:tcBorders>
                  <w:shd w:val="clear" w:color="auto" w:fill="auto"/>
                  <w:noWrap/>
                  <w:vAlign w:val="center"/>
                </w:tcPr>
                <w:p w14:paraId="2651104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合计</w:t>
                  </w:r>
                </w:p>
              </w:tc>
              <w:tc>
                <w:tcPr>
                  <w:tcW w:w="2087" w:type="dxa"/>
                  <w:tcBorders>
                    <w:tl2br w:val="nil"/>
                    <w:tr2bl w:val="nil"/>
                  </w:tcBorders>
                  <w:shd w:val="clear" w:color="auto" w:fill="auto"/>
                  <w:noWrap/>
                  <w:vAlign w:val="center"/>
                </w:tcPr>
                <w:p w14:paraId="0DDF26E6">
                  <w:pPr>
                    <w:jc w:val="center"/>
                    <w:rPr>
                      <w:rFonts w:hint="eastAsia" w:ascii="宋体" w:hAnsi="宋体" w:eastAsia="宋体" w:cs="宋体"/>
                      <w:i w:val="0"/>
                      <w:iCs w:val="0"/>
                      <w:color w:val="auto"/>
                      <w:sz w:val="22"/>
                      <w:szCs w:val="22"/>
                      <w:u w:val="none"/>
                    </w:rPr>
                  </w:pPr>
                </w:p>
              </w:tc>
              <w:tc>
                <w:tcPr>
                  <w:tcW w:w="1428" w:type="dxa"/>
                  <w:tcBorders>
                    <w:tl2br w:val="nil"/>
                    <w:tr2bl w:val="nil"/>
                  </w:tcBorders>
                  <w:shd w:val="clear" w:color="auto" w:fill="auto"/>
                  <w:noWrap/>
                  <w:vAlign w:val="center"/>
                </w:tcPr>
                <w:p w14:paraId="013F2CA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2752.98 </w:t>
                  </w:r>
                </w:p>
              </w:tc>
              <w:tc>
                <w:tcPr>
                  <w:tcW w:w="1295" w:type="dxa"/>
                  <w:tcBorders>
                    <w:tl2br w:val="nil"/>
                    <w:tr2bl w:val="nil"/>
                  </w:tcBorders>
                  <w:shd w:val="clear" w:color="auto" w:fill="auto"/>
                  <w:noWrap/>
                  <w:vAlign w:val="center"/>
                </w:tcPr>
                <w:p w14:paraId="77F991AD">
                  <w:pPr>
                    <w:rPr>
                      <w:rFonts w:hint="eastAsia" w:ascii="宋体" w:hAnsi="宋体" w:eastAsia="宋体" w:cs="宋体"/>
                      <w:i w:val="0"/>
                      <w:iCs w:val="0"/>
                      <w:color w:val="auto"/>
                      <w:sz w:val="22"/>
                      <w:szCs w:val="22"/>
                      <w:u w:val="none"/>
                    </w:rPr>
                  </w:pPr>
                </w:p>
              </w:tc>
              <w:tc>
                <w:tcPr>
                  <w:tcW w:w="1212" w:type="dxa"/>
                  <w:tcBorders>
                    <w:tl2br w:val="nil"/>
                    <w:tr2bl w:val="nil"/>
                  </w:tcBorders>
                  <w:shd w:val="clear" w:color="auto" w:fill="auto"/>
                  <w:noWrap/>
                  <w:vAlign w:val="center"/>
                </w:tcPr>
                <w:p w14:paraId="3D7C463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73889.69 </w:t>
                  </w:r>
                </w:p>
              </w:tc>
              <w:tc>
                <w:tcPr>
                  <w:tcW w:w="1242" w:type="dxa"/>
                  <w:tcBorders>
                    <w:tl2br w:val="nil"/>
                    <w:tr2bl w:val="nil"/>
                  </w:tcBorders>
                  <w:shd w:val="clear" w:color="auto" w:fill="auto"/>
                  <w:noWrap/>
                  <w:vAlign w:val="center"/>
                </w:tcPr>
                <w:p w14:paraId="76E54E6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100.00%</w:t>
                  </w:r>
                </w:p>
              </w:tc>
            </w:tr>
          </w:tbl>
          <w:p w14:paraId="7BF229BA">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jc w:val="left"/>
              <w:textAlignment w:val="auto"/>
              <w:rPr>
                <w:rFonts w:hint="eastAsia"/>
                <w:b w:val="0"/>
                <w:bCs w:val="0"/>
                <w:color w:val="auto"/>
                <w:sz w:val="24"/>
                <w:szCs w:val="24"/>
                <w:lang w:eastAsia="zh-CN"/>
              </w:rPr>
            </w:pPr>
            <w:r>
              <w:rPr>
                <w:rStyle w:val="27"/>
                <w:rFonts w:hint="eastAsia" w:ascii="Times New Roman" w:hAnsi="Times New Roman" w:cs="Times New Roman"/>
                <w:color w:val="auto"/>
                <w:highlight w:val="none"/>
                <w:lang w:eastAsia="zh-CN"/>
              </w:rPr>
              <w:t>注：各植被类型平均生物量数据来源于：①《我国森林植被的生物量和净生产量》（方精云等，1996）；②《中国森林生态系统的生物量和生产力》（冯宗炜等，1999）等文献。</w:t>
            </w:r>
          </w:p>
          <w:p w14:paraId="15FE09B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color w:val="auto"/>
                <w:sz w:val="24"/>
                <w:szCs w:val="24"/>
                <w:highlight w:val="none"/>
                <w:lang w:eastAsia="zh-CN"/>
              </w:rPr>
            </w:pPr>
            <w:r>
              <w:rPr>
                <w:rFonts w:hint="eastAsia"/>
                <w:color w:val="auto"/>
                <w:sz w:val="24"/>
                <w:szCs w:val="24"/>
                <w:highlight w:val="none"/>
                <w:lang w:eastAsia="zh-CN"/>
              </w:rPr>
              <w:t>由上表可知，评价区植被总生物量为</w:t>
            </w:r>
            <w:r>
              <w:rPr>
                <w:rFonts w:hint="eastAsia"/>
                <w:color w:val="auto"/>
                <w:sz w:val="24"/>
                <w:szCs w:val="24"/>
                <w:highlight w:val="none"/>
                <w:lang w:val="en-US" w:eastAsia="zh-CN"/>
              </w:rPr>
              <w:t>73889.69</w:t>
            </w:r>
            <w:r>
              <w:rPr>
                <w:rFonts w:hint="eastAsia"/>
                <w:color w:val="auto"/>
                <w:sz w:val="24"/>
                <w:szCs w:val="24"/>
                <w:highlight w:val="none"/>
                <w:lang w:eastAsia="zh-CN"/>
              </w:rPr>
              <w:t>t。其中，林地生物量最多，其次为农田，其它生态类型生物量较少。</w:t>
            </w:r>
          </w:p>
          <w:p w14:paraId="0FEC471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b w:val="0"/>
                <w:bCs w:val="0"/>
                <w:color w:val="auto"/>
                <w:sz w:val="24"/>
                <w:szCs w:val="24"/>
                <w:lang w:eastAsia="zh-CN"/>
              </w:rPr>
            </w:pPr>
            <w:r>
              <w:rPr>
                <w:rFonts w:hint="eastAsia"/>
                <w:b w:val="0"/>
                <w:bCs w:val="0"/>
                <w:color w:val="auto"/>
                <w:sz w:val="24"/>
                <w:szCs w:val="24"/>
                <w:lang w:eastAsia="zh-CN"/>
              </w:rPr>
              <w:fldChar w:fldCharType="begin"/>
            </w:r>
            <w:r>
              <w:rPr>
                <w:rFonts w:hint="eastAsia"/>
                <w:b w:val="0"/>
                <w:bCs w:val="0"/>
                <w:color w:val="auto"/>
                <w:sz w:val="24"/>
                <w:szCs w:val="24"/>
                <w:lang w:eastAsia="zh-CN"/>
              </w:rPr>
              <w:instrText xml:space="preserve"> = 3 \* GB3 \* MERGEFORMAT </w:instrText>
            </w:r>
            <w:r>
              <w:rPr>
                <w:rFonts w:hint="eastAsia"/>
                <w:b w:val="0"/>
                <w:bCs w:val="0"/>
                <w:color w:val="auto"/>
                <w:sz w:val="24"/>
                <w:szCs w:val="24"/>
                <w:lang w:eastAsia="zh-CN"/>
              </w:rPr>
              <w:fldChar w:fldCharType="separate"/>
            </w:r>
            <w:r>
              <w:rPr>
                <w:color w:val="auto"/>
              </w:rPr>
              <w:t>③</w:t>
            </w:r>
            <w:r>
              <w:rPr>
                <w:rFonts w:hint="eastAsia"/>
                <w:b w:val="0"/>
                <w:bCs w:val="0"/>
                <w:color w:val="auto"/>
                <w:sz w:val="24"/>
                <w:szCs w:val="24"/>
                <w:lang w:eastAsia="zh-CN"/>
              </w:rPr>
              <w:fldChar w:fldCharType="end"/>
            </w:r>
            <w:r>
              <w:rPr>
                <w:rFonts w:hint="eastAsia"/>
                <w:b w:val="0"/>
                <w:bCs w:val="0"/>
                <w:color w:val="auto"/>
                <w:sz w:val="24"/>
                <w:szCs w:val="24"/>
                <w:lang w:eastAsia="zh-CN"/>
              </w:rPr>
              <w:t>景观生态体系质量现状</w:t>
            </w:r>
          </w:p>
          <w:p w14:paraId="6FB99BE2">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景观生态系统的质量现状由评价范围内自然环境，各种生物以及人类社会之间复杂的相互作用来决定。从景观生态学结构与功能相匹配的理论来说，结构是否合理决定了景观功能的优劣，它在很大程度上决定了景观的性质，对景观的动态起着主导作用。模地采用传统的生态学方法来确定，</w:t>
            </w:r>
          </w:p>
          <w:p w14:paraId="7117BA12">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即计算组成景观的各类斑块的优势度值（Do），优势度值大的就是模地。</w:t>
            </w:r>
          </w:p>
          <w:p w14:paraId="55993308">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优势度值（Do）={（Rd+Rf）/2+Lp}/2×100</w:t>
            </w:r>
          </w:p>
          <w:p w14:paraId="5B11A2A2">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密度（Rd）＝嵌块i 的数目/嵌块总数×100</w:t>
            </w:r>
          </w:p>
          <w:p w14:paraId="3E6D0784">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频度（Rf）＝嵌块i 出现的样方数/总样方数×100</w:t>
            </w:r>
          </w:p>
          <w:p w14:paraId="13EBFC12">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景观比例（Lp）=嵌块i 的面积/样地总面积×100</w:t>
            </w:r>
          </w:p>
          <w:p w14:paraId="059B79C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b w:val="0"/>
                <w:bCs w:val="0"/>
                <w:color w:val="auto"/>
                <w:sz w:val="24"/>
                <w:szCs w:val="24"/>
                <w:lang w:eastAsia="zh-CN"/>
              </w:rPr>
            </w:pPr>
            <w:r>
              <w:rPr>
                <w:rFonts w:hint="eastAsia" w:ascii="宋体" w:hAnsi="宋体" w:eastAsia="宋体" w:cs="宋体"/>
                <w:color w:val="auto"/>
                <w:sz w:val="24"/>
                <w:szCs w:val="24"/>
                <w:highlight w:val="none"/>
                <w:lang w:eastAsia="zh-CN"/>
              </w:rPr>
              <w:t>运用上述参数计算本项目生态评价范围各类拼块优势度值，详见下表。</w:t>
            </w:r>
          </w:p>
          <w:p w14:paraId="30423A1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b w:val="0"/>
                <w:bCs w:val="0"/>
                <w:color w:val="auto"/>
                <w:sz w:val="24"/>
                <w:szCs w:val="24"/>
                <w:lang w:eastAsia="zh-CN"/>
              </w:rPr>
            </w:pPr>
            <w:r>
              <w:rPr>
                <w:rFonts w:hint="eastAsia" w:ascii="Times New Roman" w:hAnsi="Times New Roman" w:eastAsia="宋体" w:cs="Times New Roman"/>
                <w:b/>
                <w:bCs/>
                <w:color w:val="auto"/>
                <w:sz w:val="24"/>
                <w:szCs w:val="24"/>
                <w:lang w:val="en-US" w:eastAsia="zh-CN"/>
              </w:rPr>
              <w:t>表3.11 评价区内各类斑块优势度值表</w:t>
            </w:r>
          </w:p>
          <w:tbl>
            <w:tblPr>
              <w:tblStyle w:val="9"/>
              <w:tblW w:w="8220"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2617"/>
              <w:gridCol w:w="1613"/>
              <w:gridCol w:w="1243"/>
              <w:gridCol w:w="1356"/>
              <w:gridCol w:w="1391"/>
            </w:tblGrid>
            <w:tr w14:paraId="40FA89A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2617" w:type="dxa"/>
                  <w:tcBorders>
                    <w:tl2br w:val="nil"/>
                    <w:tr2bl w:val="nil"/>
                  </w:tcBorders>
                  <w:noWrap w:val="0"/>
                  <w:vAlign w:val="center"/>
                </w:tcPr>
                <w:p w14:paraId="175800E7">
                  <w:pPr>
                    <w:pStyle w:val="17"/>
                    <w:bidi w:val="0"/>
                    <w:rPr>
                      <w:rFonts w:hint="eastAsia"/>
                      <w:color w:val="auto"/>
                      <w:highlight w:val="none"/>
                    </w:rPr>
                  </w:pPr>
                  <w:r>
                    <w:rPr>
                      <w:rFonts w:hint="eastAsia"/>
                      <w:color w:val="auto"/>
                      <w:highlight w:val="none"/>
                      <w:lang w:val="en-US" w:eastAsia="zh-CN"/>
                    </w:rPr>
                    <w:t>斑块类型</w:t>
                  </w:r>
                </w:p>
              </w:tc>
              <w:tc>
                <w:tcPr>
                  <w:tcW w:w="1613" w:type="dxa"/>
                  <w:tcBorders>
                    <w:tl2br w:val="nil"/>
                    <w:tr2bl w:val="nil"/>
                  </w:tcBorders>
                  <w:noWrap w:val="0"/>
                  <w:vAlign w:val="center"/>
                </w:tcPr>
                <w:p w14:paraId="1F326030">
                  <w:pPr>
                    <w:pStyle w:val="17"/>
                    <w:bidi w:val="0"/>
                    <w:rPr>
                      <w:rFonts w:hint="eastAsia"/>
                      <w:color w:val="auto"/>
                      <w:highlight w:val="none"/>
                    </w:rPr>
                  </w:pPr>
                  <w:r>
                    <w:rPr>
                      <w:rFonts w:hint="eastAsia"/>
                      <w:color w:val="auto"/>
                      <w:highlight w:val="none"/>
                      <w:lang w:val="en-US" w:eastAsia="zh-CN"/>
                    </w:rPr>
                    <w:t>密度（Rd%）</w:t>
                  </w:r>
                </w:p>
              </w:tc>
              <w:tc>
                <w:tcPr>
                  <w:tcW w:w="1243" w:type="dxa"/>
                  <w:tcBorders>
                    <w:tl2br w:val="nil"/>
                    <w:tr2bl w:val="nil"/>
                  </w:tcBorders>
                  <w:noWrap w:val="0"/>
                  <w:vAlign w:val="center"/>
                </w:tcPr>
                <w:p w14:paraId="0C4B15B0">
                  <w:pPr>
                    <w:pStyle w:val="17"/>
                    <w:bidi w:val="0"/>
                    <w:rPr>
                      <w:rFonts w:hint="eastAsia"/>
                      <w:color w:val="auto"/>
                      <w:highlight w:val="none"/>
                    </w:rPr>
                  </w:pPr>
                  <w:r>
                    <w:rPr>
                      <w:rFonts w:hint="eastAsia"/>
                      <w:color w:val="auto"/>
                      <w:highlight w:val="none"/>
                      <w:lang w:val="en-US" w:eastAsia="zh-CN"/>
                    </w:rPr>
                    <w:t>频度（Rf%）</w:t>
                  </w:r>
                </w:p>
              </w:tc>
              <w:tc>
                <w:tcPr>
                  <w:tcW w:w="1356" w:type="dxa"/>
                  <w:tcBorders>
                    <w:tl2br w:val="nil"/>
                    <w:tr2bl w:val="nil"/>
                  </w:tcBorders>
                  <w:noWrap w:val="0"/>
                  <w:vAlign w:val="center"/>
                </w:tcPr>
                <w:p w14:paraId="68DF8F87">
                  <w:pPr>
                    <w:pStyle w:val="17"/>
                    <w:bidi w:val="0"/>
                    <w:rPr>
                      <w:rFonts w:hint="eastAsia"/>
                      <w:color w:val="auto"/>
                      <w:highlight w:val="none"/>
                    </w:rPr>
                  </w:pPr>
                  <w:r>
                    <w:rPr>
                      <w:rFonts w:hint="eastAsia"/>
                      <w:color w:val="auto"/>
                      <w:highlight w:val="none"/>
                      <w:lang w:val="en-US" w:eastAsia="zh-CN"/>
                    </w:rPr>
                    <w:t>景观比例（Lp%）</w:t>
                  </w:r>
                </w:p>
              </w:tc>
              <w:tc>
                <w:tcPr>
                  <w:tcW w:w="1391" w:type="dxa"/>
                  <w:tcBorders>
                    <w:tl2br w:val="nil"/>
                    <w:tr2bl w:val="nil"/>
                  </w:tcBorders>
                  <w:noWrap w:val="0"/>
                  <w:vAlign w:val="center"/>
                </w:tcPr>
                <w:p w14:paraId="07AF79E9">
                  <w:pPr>
                    <w:pStyle w:val="17"/>
                    <w:bidi w:val="0"/>
                    <w:rPr>
                      <w:rFonts w:hint="eastAsia"/>
                      <w:color w:val="auto"/>
                      <w:highlight w:val="none"/>
                    </w:rPr>
                  </w:pPr>
                  <w:r>
                    <w:rPr>
                      <w:rFonts w:hint="eastAsia"/>
                      <w:color w:val="auto"/>
                      <w:highlight w:val="none"/>
                      <w:lang w:val="en-US" w:eastAsia="zh-CN"/>
                    </w:rPr>
                    <w:t>优势度（Do%）</w:t>
                  </w:r>
                </w:p>
              </w:tc>
            </w:tr>
            <w:tr w14:paraId="19FD6D4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2617" w:type="dxa"/>
                  <w:tcBorders>
                    <w:tl2br w:val="nil"/>
                    <w:tr2bl w:val="nil"/>
                  </w:tcBorders>
                  <w:noWrap w:val="0"/>
                  <w:vAlign w:val="center"/>
                </w:tcPr>
                <w:p w14:paraId="4D9A748C">
                  <w:pPr>
                    <w:pStyle w:val="17"/>
                    <w:bidi w:val="0"/>
                    <w:rPr>
                      <w:rFonts w:hint="eastAsia"/>
                      <w:color w:val="auto"/>
                      <w:highlight w:val="none"/>
                    </w:rPr>
                  </w:pPr>
                  <w:r>
                    <w:rPr>
                      <w:rFonts w:hint="eastAsia"/>
                      <w:color w:val="auto"/>
                      <w:highlight w:val="none"/>
                      <w:lang w:val="en-US" w:eastAsia="zh-CN"/>
                    </w:rPr>
                    <w:t>林地</w:t>
                  </w:r>
                </w:p>
              </w:tc>
              <w:tc>
                <w:tcPr>
                  <w:tcW w:w="1613" w:type="dxa"/>
                  <w:tcBorders>
                    <w:tl2br w:val="nil"/>
                    <w:tr2bl w:val="nil"/>
                  </w:tcBorders>
                  <w:noWrap w:val="0"/>
                  <w:vAlign w:val="center"/>
                </w:tcPr>
                <w:p w14:paraId="05D03BA2">
                  <w:pPr>
                    <w:keepNext w:val="0"/>
                    <w:keepLines w:val="0"/>
                    <w:widowControl/>
                    <w:suppressLineNumbers w:val="0"/>
                    <w:jc w:val="center"/>
                    <w:textAlignment w:val="center"/>
                    <w:rPr>
                      <w:rFonts w:hint="eastAsia"/>
                      <w:color w:val="auto"/>
                    </w:rPr>
                  </w:pPr>
                  <w:r>
                    <w:rPr>
                      <w:rFonts w:hint="eastAsia" w:ascii="宋体" w:hAnsi="宋体" w:eastAsia="宋体" w:cs="宋体"/>
                      <w:i w:val="0"/>
                      <w:iCs w:val="0"/>
                      <w:color w:val="auto"/>
                      <w:kern w:val="0"/>
                      <w:sz w:val="22"/>
                      <w:szCs w:val="22"/>
                      <w:u w:val="none"/>
                      <w:lang w:val="en-US" w:eastAsia="zh-CN" w:bidi="ar"/>
                    </w:rPr>
                    <w:t>39.89%</w:t>
                  </w:r>
                </w:p>
              </w:tc>
              <w:tc>
                <w:tcPr>
                  <w:tcW w:w="1243" w:type="dxa"/>
                  <w:tcBorders>
                    <w:tl2br w:val="nil"/>
                    <w:tr2bl w:val="nil"/>
                  </w:tcBorders>
                  <w:noWrap w:val="0"/>
                  <w:vAlign w:val="center"/>
                </w:tcPr>
                <w:p w14:paraId="723B8066">
                  <w:pPr>
                    <w:keepNext w:val="0"/>
                    <w:keepLines w:val="0"/>
                    <w:widowControl/>
                    <w:suppressLineNumbers w:val="0"/>
                    <w:jc w:val="center"/>
                    <w:textAlignment w:val="center"/>
                    <w:rPr>
                      <w:rFonts w:hint="eastAsia"/>
                      <w:color w:val="auto"/>
                    </w:rPr>
                  </w:pPr>
                  <w:r>
                    <w:rPr>
                      <w:rFonts w:hint="eastAsia" w:ascii="宋体" w:hAnsi="宋体" w:eastAsia="宋体" w:cs="宋体"/>
                      <w:i w:val="0"/>
                      <w:iCs w:val="0"/>
                      <w:color w:val="auto"/>
                      <w:kern w:val="0"/>
                      <w:sz w:val="22"/>
                      <w:szCs w:val="22"/>
                      <w:u w:val="none"/>
                      <w:lang w:val="en-US" w:eastAsia="zh-CN" w:bidi="ar"/>
                    </w:rPr>
                    <w:t>32.95%</w:t>
                  </w:r>
                </w:p>
              </w:tc>
              <w:tc>
                <w:tcPr>
                  <w:tcW w:w="1356" w:type="dxa"/>
                  <w:tcBorders>
                    <w:tl2br w:val="nil"/>
                    <w:tr2bl w:val="nil"/>
                  </w:tcBorders>
                  <w:noWrap w:val="0"/>
                  <w:vAlign w:val="center"/>
                </w:tcPr>
                <w:p w14:paraId="03612C8C">
                  <w:pPr>
                    <w:keepNext w:val="0"/>
                    <w:keepLines w:val="0"/>
                    <w:widowControl/>
                    <w:suppressLineNumbers w:val="0"/>
                    <w:jc w:val="center"/>
                    <w:textAlignment w:val="center"/>
                    <w:rPr>
                      <w:rFonts w:hint="eastAsia"/>
                      <w:color w:val="auto"/>
                    </w:rPr>
                  </w:pPr>
                  <w:r>
                    <w:rPr>
                      <w:rFonts w:hint="eastAsia" w:ascii="宋体" w:hAnsi="宋体" w:eastAsia="宋体" w:cs="宋体"/>
                      <w:i w:val="0"/>
                      <w:iCs w:val="0"/>
                      <w:color w:val="auto"/>
                      <w:kern w:val="0"/>
                      <w:sz w:val="22"/>
                      <w:szCs w:val="22"/>
                      <w:u w:val="none"/>
                      <w:lang w:val="en-US" w:eastAsia="zh-CN" w:bidi="ar"/>
                    </w:rPr>
                    <w:t>28.49%</w:t>
                  </w:r>
                </w:p>
              </w:tc>
              <w:tc>
                <w:tcPr>
                  <w:tcW w:w="1391" w:type="dxa"/>
                  <w:tcBorders>
                    <w:tl2br w:val="nil"/>
                    <w:tr2bl w:val="nil"/>
                  </w:tcBorders>
                  <w:noWrap w:val="0"/>
                  <w:vAlign w:val="center"/>
                </w:tcPr>
                <w:p w14:paraId="4FB01561">
                  <w:pPr>
                    <w:keepNext w:val="0"/>
                    <w:keepLines w:val="0"/>
                    <w:widowControl/>
                    <w:suppressLineNumbers w:val="0"/>
                    <w:jc w:val="center"/>
                    <w:textAlignment w:val="center"/>
                    <w:rPr>
                      <w:rFonts w:hint="eastAsia"/>
                      <w:color w:val="auto"/>
                    </w:rPr>
                  </w:pPr>
                  <w:r>
                    <w:rPr>
                      <w:rFonts w:hint="eastAsia" w:ascii="宋体" w:hAnsi="宋体" w:eastAsia="宋体" w:cs="宋体"/>
                      <w:i w:val="0"/>
                      <w:iCs w:val="0"/>
                      <w:color w:val="auto"/>
                      <w:kern w:val="0"/>
                      <w:sz w:val="22"/>
                      <w:szCs w:val="22"/>
                      <w:u w:val="none"/>
                      <w:lang w:val="en-US" w:eastAsia="zh-CN" w:bidi="ar"/>
                    </w:rPr>
                    <w:t>32.45%</w:t>
                  </w:r>
                </w:p>
              </w:tc>
            </w:tr>
            <w:tr w14:paraId="0CB4662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2617" w:type="dxa"/>
                  <w:tcBorders>
                    <w:tl2br w:val="nil"/>
                    <w:tr2bl w:val="nil"/>
                  </w:tcBorders>
                  <w:noWrap w:val="0"/>
                  <w:vAlign w:val="center"/>
                </w:tcPr>
                <w:p w14:paraId="20C3EF2A">
                  <w:pPr>
                    <w:pStyle w:val="17"/>
                    <w:bidi w:val="0"/>
                    <w:rPr>
                      <w:rFonts w:hint="eastAsia"/>
                      <w:color w:val="auto"/>
                      <w:highlight w:val="none"/>
                    </w:rPr>
                  </w:pPr>
                  <w:r>
                    <w:rPr>
                      <w:rFonts w:hint="eastAsia"/>
                      <w:color w:val="auto"/>
                      <w:highlight w:val="none"/>
                      <w:lang w:val="en-US" w:eastAsia="zh-CN"/>
                    </w:rPr>
                    <w:t>灌草地</w:t>
                  </w:r>
                </w:p>
              </w:tc>
              <w:tc>
                <w:tcPr>
                  <w:tcW w:w="1613" w:type="dxa"/>
                  <w:tcBorders>
                    <w:tl2br w:val="nil"/>
                    <w:tr2bl w:val="nil"/>
                  </w:tcBorders>
                  <w:noWrap w:val="0"/>
                  <w:vAlign w:val="center"/>
                </w:tcPr>
                <w:p w14:paraId="4DD67A57">
                  <w:pPr>
                    <w:keepNext w:val="0"/>
                    <w:keepLines w:val="0"/>
                    <w:widowControl/>
                    <w:suppressLineNumbers w:val="0"/>
                    <w:jc w:val="center"/>
                    <w:textAlignment w:val="center"/>
                    <w:rPr>
                      <w:rFonts w:hint="eastAsia"/>
                      <w:color w:val="auto"/>
                    </w:rPr>
                  </w:pPr>
                  <w:r>
                    <w:rPr>
                      <w:rFonts w:hint="eastAsia" w:ascii="宋体" w:hAnsi="宋体" w:eastAsia="宋体" w:cs="宋体"/>
                      <w:i w:val="0"/>
                      <w:iCs w:val="0"/>
                      <w:color w:val="auto"/>
                      <w:kern w:val="0"/>
                      <w:sz w:val="22"/>
                      <w:szCs w:val="22"/>
                      <w:u w:val="none"/>
                      <w:lang w:val="en-US" w:eastAsia="zh-CN" w:bidi="ar"/>
                    </w:rPr>
                    <w:t>23.22%</w:t>
                  </w:r>
                </w:p>
              </w:tc>
              <w:tc>
                <w:tcPr>
                  <w:tcW w:w="1243" w:type="dxa"/>
                  <w:tcBorders>
                    <w:tl2br w:val="nil"/>
                    <w:tr2bl w:val="nil"/>
                  </w:tcBorders>
                  <w:noWrap w:val="0"/>
                  <w:vAlign w:val="center"/>
                </w:tcPr>
                <w:p w14:paraId="2CCA2D07">
                  <w:pPr>
                    <w:keepNext w:val="0"/>
                    <w:keepLines w:val="0"/>
                    <w:widowControl/>
                    <w:suppressLineNumbers w:val="0"/>
                    <w:jc w:val="center"/>
                    <w:textAlignment w:val="center"/>
                    <w:rPr>
                      <w:rFonts w:hint="eastAsia"/>
                      <w:color w:val="auto"/>
                    </w:rPr>
                  </w:pPr>
                  <w:r>
                    <w:rPr>
                      <w:rFonts w:hint="eastAsia" w:ascii="宋体" w:hAnsi="宋体" w:eastAsia="宋体" w:cs="宋体"/>
                      <w:i w:val="0"/>
                      <w:iCs w:val="0"/>
                      <w:color w:val="auto"/>
                      <w:kern w:val="0"/>
                      <w:sz w:val="22"/>
                      <w:szCs w:val="22"/>
                      <w:u w:val="none"/>
                      <w:lang w:val="en-US" w:eastAsia="zh-CN" w:bidi="ar"/>
                    </w:rPr>
                    <w:t>26.59%</w:t>
                  </w:r>
                </w:p>
              </w:tc>
              <w:tc>
                <w:tcPr>
                  <w:tcW w:w="1356" w:type="dxa"/>
                  <w:tcBorders>
                    <w:tl2br w:val="nil"/>
                    <w:tr2bl w:val="nil"/>
                  </w:tcBorders>
                  <w:noWrap w:val="0"/>
                  <w:vAlign w:val="center"/>
                </w:tcPr>
                <w:p w14:paraId="2F5E7304">
                  <w:pPr>
                    <w:keepNext w:val="0"/>
                    <w:keepLines w:val="0"/>
                    <w:widowControl/>
                    <w:suppressLineNumbers w:val="0"/>
                    <w:jc w:val="center"/>
                    <w:textAlignment w:val="center"/>
                    <w:rPr>
                      <w:rFonts w:hint="eastAsia"/>
                      <w:color w:val="auto"/>
                    </w:rPr>
                  </w:pPr>
                  <w:r>
                    <w:rPr>
                      <w:rFonts w:hint="eastAsia" w:ascii="宋体" w:hAnsi="宋体" w:eastAsia="宋体" w:cs="宋体"/>
                      <w:i w:val="0"/>
                      <w:iCs w:val="0"/>
                      <w:color w:val="auto"/>
                      <w:kern w:val="0"/>
                      <w:sz w:val="22"/>
                      <w:szCs w:val="22"/>
                      <w:u w:val="none"/>
                      <w:lang w:val="en-US" w:eastAsia="zh-CN" w:bidi="ar"/>
                    </w:rPr>
                    <w:t>2.87%</w:t>
                  </w:r>
                </w:p>
              </w:tc>
              <w:tc>
                <w:tcPr>
                  <w:tcW w:w="1391" w:type="dxa"/>
                  <w:tcBorders>
                    <w:tl2br w:val="nil"/>
                    <w:tr2bl w:val="nil"/>
                  </w:tcBorders>
                  <w:noWrap w:val="0"/>
                  <w:vAlign w:val="center"/>
                </w:tcPr>
                <w:p w14:paraId="70927191">
                  <w:pPr>
                    <w:keepNext w:val="0"/>
                    <w:keepLines w:val="0"/>
                    <w:widowControl/>
                    <w:suppressLineNumbers w:val="0"/>
                    <w:jc w:val="center"/>
                    <w:textAlignment w:val="center"/>
                    <w:rPr>
                      <w:rFonts w:hint="eastAsia"/>
                      <w:color w:val="auto"/>
                    </w:rPr>
                  </w:pPr>
                  <w:r>
                    <w:rPr>
                      <w:rFonts w:hint="eastAsia" w:ascii="宋体" w:hAnsi="宋体" w:eastAsia="宋体" w:cs="宋体"/>
                      <w:i w:val="0"/>
                      <w:iCs w:val="0"/>
                      <w:color w:val="auto"/>
                      <w:kern w:val="0"/>
                      <w:sz w:val="22"/>
                      <w:szCs w:val="22"/>
                      <w:u w:val="none"/>
                      <w:lang w:val="en-US" w:eastAsia="zh-CN" w:bidi="ar"/>
                    </w:rPr>
                    <w:t>13.89%</w:t>
                  </w:r>
                </w:p>
              </w:tc>
            </w:tr>
            <w:tr w14:paraId="1419566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2617" w:type="dxa"/>
                  <w:tcBorders>
                    <w:tl2br w:val="nil"/>
                    <w:tr2bl w:val="nil"/>
                  </w:tcBorders>
                  <w:noWrap w:val="0"/>
                  <w:vAlign w:val="center"/>
                </w:tcPr>
                <w:p w14:paraId="6ACA0657">
                  <w:pPr>
                    <w:pStyle w:val="17"/>
                    <w:bidi w:val="0"/>
                    <w:rPr>
                      <w:rFonts w:hint="eastAsia"/>
                      <w:color w:val="auto"/>
                      <w:highlight w:val="none"/>
                    </w:rPr>
                  </w:pPr>
                  <w:r>
                    <w:rPr>
                      <w:rFonts w:hint="eastAsia"/>
                      <w:color w:val="auto"/>
                      <w:highlight w:val="none"/>
                      <w:lang w:val="en-US" w:eastAsia="zh-CN"/>
                    </w:rPr>
                    <w:t>耕地</w:t>
                  </w:r>
                </w:p>
              </w:tc>
              <w:tc>
                <w:tcPr>
                  <w:tcW w:w="1613" w:type="dxa"/>
                  <w:tcBorders>
                    <w:tl2br w:val="nil"/>
                    <w:tr2bl w:val="nil"/>
                  </w:tcBorders>
                  <w:noWrap w:val="0"/>
                  <w:vAlign w:val="center"/>
                </w:tcPr>
                <w:p w14:paraId="492B8C0A">
                  <w:pPr>
                    <w:keepNext w:val="0"/>
                    <w:keepLines w:val="0"/>
                    <w:widowControl/>
                    <w:suppressLineNumbers w:val="0"/>
                    <w:jc w:val="center"/>
                    <w:textAlignment w:val="center"/>
                    <w:rPr>
                      <w:rFonts w:hint="eastAsia"/>
                      <w:color w:val="auto"/>
                    </w:rPr>
                  </w:pPr>
                  <w:r>
                    <w:rPr>
                      <w:rFonts w:hint="eastAsia" w:ascii="宋体" w:hAnsi="宋体" w:eastAsia="宋体" w:cs="宋体"/>
                      <w:i w:val="0"/>
                      <w:iCs w:val="0"/>
                      <w:color w:val="auto"/>
                      <w:kern w:val="0"/>
                      <w:sz w:val="22"/>
                      <w:szCs w:val="22"/>
                      <w:u w:val="none"/>
                      <w:lang w:val="en-US" w:eastAsia="zh-CN" w:bidi="ar"/>
                    </w:rPr>
                    <w:t>18.03%</w:t>
                  </w:r>
                </w:p>
              </w:tc>
              <w:tc>
                <w:tcPr>
                  <w:tcW w:w="1243" w:type="dxa"/>
                  <w:tcBorders>
                    <w:tl2br w:val="nil"/>
                    <w:tr2bl w:val="nil"/>
                  </w:tcBorders>
                  <w:noWrap w:val="0"/>
                  <w:vAlign w:val="center"/>
                </w:tcPr>
                <w:p w14:paraId="4DF9EAE0">
                  <w:pPr>
                    <w:keepNext w:val="0"/>
                    <w:keepLines w:val="0"/>
                    <w:widowControl/>
                    <w:suppressLineNumbers w:val="0"/>
                    <w:jc w:val="center"/>
                    <w:textAlignment w:val="center"/>
                    <w:rPr>
                      <w:rFonts w:hint="eastAsia"/>
                      <w:color w:val="auto"/>
                    </w:rPr>
                  </w:pPr>
                  <w:r>
                    <w:rPr>
                      <w:rFonts w:hint="eastAsia" w:ascii="宋体" w:hAnsi="宋体" w:eastAsia="宋体" w:cs="宋体"/>
                      <w:i w:val="0"/>
                      <w:iCs w:val="0"/>
                      <w:color w:val="auto"/>
                      <w:kern w:val="0"/>
                      <w:sz w:val="22"/>
                      <w:szCs w:val="22"/>
                      <w:u w:val="none"/>
                      <w:lang w:val="en-US" w:eastAsia="zh-CN" w:bidi="ar"/>
                    </w:rPr>
                    <w:t>14.45%</w:t>
                  </w:r>
                </w:p>
              </w:tc>
              <w:tc>
                <w:tcPr>
                  <w:tcW w:w="1356" w:type="dxa"/>
                  <w:tcBorders>
                    <w:tl2br w:val="nil"/>
                    <w:tr2bl w:val="nil"/>
                  </w:tcBorders>
                  <w:noWrap w:val="0"/>
                  <w:vAlign w:val="center"/>
                </w:tcPr>
                <w:p w14:paraId="29151488">
                  <w:pPr>
                    <w:keepNext w:val="0"/>
                    <w:keepLines w:val="0"/>
                    <w:widowControl/>
                    <w:suppressLineNumbers w:val="0"/>
                    <w:jc w:val="center"/>
                    <w:textAlignment w:val="center"/>
                    <w:rPr>
                      <w:rFonts w:hint="eastAsia"/>
                      <w:color w:val="auto"/>
                    </w:rPr>
                  </w:pPr>
                  <w:r>
                    <w:rPr>
                      <w:rFonts w:hint="eastAsia" w:ascii="宋体" w:hAnsi="宋体" w:eastAsia="宋体" w:cs="宋体"/>
                      <w:i w:val="0"/>
                      <w:iCs w:val="0"/>
                      <w:color w:val="auto"/>
                      <w:kern w:val="0"/>
                      <w:sz w:val="22"/>
                      <w:szCs w:val="22"/>
                      <w:u w:val="none"/>
                      <w:lang w:val="en-US" w:eastAsia="zh-CN" w:bidi="ar"/>
                    </w:rPr>
                    <w:t>19.75%</w:t>
                  </w:r>
                </w:p>
              </w:tc>
              <w:tc>
                <w:tcPr>
                  <w:tcW w:w="1391" w:type="dxa"/>
                  <w:tcBorders>
                    <w:tl2br w:val="nil"/>
                    <w:tr2bl w:val="nil"/>
                  </w:tcBorders>
                  <w:noWrap w:val="0"/>
                  <w:vAlign w:val="center"/>
                </w:tcPr>
                <w:p w14:paraId="255913F9">
                  <w:pPr>
                    <w:keepNext w:val="0"/>
                    <w:keepLines w:val="0"/>
                    <w:widowControl/>
                    <w:suppressLineNumbers w:val="0"/>
                    <w:jc w:val="center"/>
                    <w:textAlignment w:val="center"/>
                    <w:rPr>
                      <w:rFonts w:hint="eastAsia"/>
                      <w:color w:val="auto"/>
                    </w:rPr>
                  </w:pPr>
                  <w:r>
                    <w:rPr>
                      <w:rFonts w:hint="eastAsia" w:ascii="宋体" w:hAnsi="宋体" w:eastAsia="宋体" w:cs="宋体"/>
                      <w:i w:val="0"/>
                      <w:iCs w:val="0"/>
                      <w:color w:val="auto"/>
                      <w:kern w:val="0"/>
                      <w:sz w:val="22"/>
                      <w:szCs w:val="22"/>
                      <w:u w:val="none"/>
                      <w:lang w:val="en-US" w:eastAsia="zh-CN" w:bidi="ar"/>
                    </w:rPr>
                    <w:t>17.99%</w:t>
                  </w:r>
                </w:p>
              </w:tc>
            </w:tr>
            <w:tr w14:paraId="175CB0F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2617" w:type="dxa"/>
                  <w:tcBorders>
                    <w:tl2br w:val="nil"/>
                    <w:tr2bl w:val="nil"/>
                  </w:tcBorders>
                  <w:noWrap w:val="0"/>
                  <w:vAlign w:val="center"/>
                </w:tcPr>
                <w:p w14:paraId="03517D7F">
                  <w:pPr>
                    <w:pStyle w:val="17"/>
                    <w:bidi w:val="0"/>
                    <w:rPr>
                      <w:rFonts w:hint="eastAsia"/>
                      <w:color w:val="auto"/>
                      <w:highlight w:val="none"/>
                    </w:rPr>
                  </w:pPr>
                  <w:r>
                    <w:rPr>
                      <w:rFonts w:hint="eastAsia"/>
                      <w:color w:val="auto"/>
                      <w:highlight w:val="none"/>
                      <w:lang w:val="en-US" w:eastAsia="zh-CN"/>
                    </w:rPr>
                    <w:t>水域及水利设施用地</w:t>
                  </w:r>
                </w:p>
              </w:tc>
              <w:tc>
                <w:tcPr>
                  <w:tcW w:w="1613" w:type="dxa"/>
                  <w:tcBorders>
                    <w:tl2br w:val="nil"/>
                    <w:tr2bl w:val="nil"/>
                  </w:tcBorders>
                  <w:noWrap w:val="0"/>
                  <w:vAlign w:val="center"/>
                </w:tcPr>
                <w:p w14:paraId="3C0508C9">
                  <w:pPr>
                    <w:keepNext w:val="0"/>
                    <w:keepLines w:val="0"/>
                    <w:widowControl/>
                    <w:suppressLineNumbers w:val="0"/>
                    <w:jc w:val="center"/>
                    <w:textAlignment w:val="center"/>
                    <w:rPr>
                      <w:rFonts w:hint="eastAsia"/>
                      <w:color w:val="auto"/>
                    </w:rPr>
                  </w:pPr>
                  <w:r>
                    <w:rPr>
                      <w:rFonts w:hint="eastAsia" w:ascii="宋体" w:hAnsi="宋体" w:eastAsia="宋体" w:cs="宋体"/>
                      <w:i w:val="0"/>
                      <w:iCs w:val="0"/>
                      <w:color w:val="auto"/>
                      <w:kern w:val="0"/>
                      <w:sz w:val="22"/>
                      <w:szCs w:val="22"/>
                      <w:u w:val="none"/>
                      <w:lang w:val="en-US" w:eastAsia="zh-CN" w:bidi="ar"/>
                    </w:rPr>
                    <w:t>4.64%</w:t>
                  </w:r>
                </w:p>
              </w:tc>
              <w:tc>
                <w:tcPr>
                  <w:tcW w:w="1243" w:type="dxa"/>
                  <w:tcBorders>
                    <w:tl2br w:val="nil"/>
                    <w:tr2bl w:val="nil"/>
                  </w:tcBorders>
                  <w:noWrap w:val="0"/>
                  <w:vAlign w:val="center"/>
                </w:tcPr>
                <w:p w14:paraId="3B299258">
                  <w:pPr>
                    <w:keepNext w:val="0"/>
                    <w:keepLines w:val="0"/>
                    <w:widowControl/>
                    <w:suppressLineNumbers w:val="0"/>
                    <w:jc w:val="center"/>
                    <w:textAlignment w:val="center"/>
                    <w:rPr>
                      <w:rFonts w:hint="eastAsia"/>
                      <w:color w:val="auto"/>
                    </w:rPr>
                  </w:pPr>
                  <w:r>
                    <w:rPr>
                      <w:rFonts w:hint="eastAsia" w:ascii="宋体" w:hAnsi="宋体" w:eastAsia="宋体" w:cs="宋体"/>
                      <w:i w:val="0"/>
                      <w:iCs w:val="0"/>
                      <w:color w:val="auto"/>
                      <w:kern w:val="0"/>
                      <w:sz w:val="22"/>
                      <w:szCs w:val="22"/>
                      <w:u w:val="none"/>
                      <w:lang w:val="en-US" w:eastAsia="zh-CN" w:bidi="ar"/>
                    </w:rPr>
                    <w:t>9.83%</w:t>
                  </w:r>
                </w:p>
              </w:tc>
              <w:tc>
                <w:tcPr>
                  <w:tcW w:w="1356" w:type="dxa"/>
                  <w:tcBorders>
                    <w:tl2br w:val="nil"/>
                    <w:tr2bl w:val="nil"/>
                  </w:tcBorders>
                  <w:noWrap w:val="0"/>
                  <w:vAlign w:val="center"/>
                </w:tcPr>
                <w:p w14:paraId="2762D846">
                  <w:pPr>
                    <w:keepNext w:val="0"/>
                    <w:keepLines w:val="0"/>
                    <w:widowControl/>
                    <w:suppressLineNumbers w:val="0"/>
                    <w:jc w:val="center"/>
                    <w:textAlignment w:val="center"/>
                    <w:rPr>
                      <w:rFonts w:hint="eastAsia"/>
                      <w:color w:val="auto"/>
                    </w:rPr>
                  </w:pPr>
                  <w:r>
                    <w:rPr>
                      <w:rFonts w:hint="eastAsia" w:ascii="宋体" w:hAnsi="宋体" w:eastAsia="宋体" w:cs="宋体"/>
                      <w:i w:val="0"/>
                      <w:iCs w:val="0"/>
                      <w:color w:val="auto"/>
                      <w:kern w:val="0"/>
                      <w:sz w:val="22"/>
                      <w:szCs w:val="22"/>
                      <w:u w:val="none"/>
                      <w:lang w:val="en-US" w:eastAsia="zh-CN" w:bidi="ar"/>
                    </w:rPr>
                    <w:t>8.21%</w:t>
                  </w:r>
                </w:p>
              </w:tc>
              <w:tc>
                <w:tcPr>
                  <w:tcW w:w="1391" w:type="dxa"/>
                  <w:tcBorders>
                    <w:tl2br w:val="nil"/>
                    <w:tr2bl w:val="nil"/>
                  </w:tcBorders>
                  <w:noWrap w:val="0"/>
                  <w:vAlign w:val="center"/>
                </w:tcPr>
                <w:p w14:paraId="71B1DEE1">
                  <w:pPr>
                    <w:keepNext w:val="0"/>
                    <w:keepLines w:val="0"/>
                    <w:widowControl/>
                    <w:suppressLineNumbers w:val="0"/>
                    <w:jc w:val="center"/>
                    <w:textAlignment w:val="center"/>
                    <w:rPr>
                      <w:rFonts w:hint="eastAsia"/>
                      <w:color w:val="auto"/>
                    </w:rPr>
                  </w:pPr>
                  <w:r>
                    <w:rPr>
                      <w:rFonts w:hint="eastAsia" w:ascii="宋体" w:hAnsi="宋体" w:eastAsia="宋体" w:cs="宋体"/>
                      <w:i w:val="0"/>
                      <w:iCs w:val="0"/>
                      <w:color w:val="auto"/>
                      <w:kern w:val="0"/>
                      <w:sz w:val="22"/>
                      <w:szCs w:val="22"/>
                      <w:u w:val="none"/>
                      <w:lang w:val="en-US" w:eastAsia="zh-CN" w:bidi="ar"/>
                    </w:rPr>
                    <w:t>7.72%</w:t>
                  </w:r>
                </w:p>
              </w:tc>
            </w:tr>
            <w:tr w14:paraId="0436944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2617" w:type="dxa"/>
                  <w:tcBorders>
                    <w:tl2br w:val="nil"/>
                    <w:tr2bl w:val="nil"/>
                  </w:tcBorders>
                  <w:noWrap w:val="0"/>
                  <w:vAlign w:val="center"/>
                </w:tcPr>
                <w:p w14:paraId="049564E5">
                  <w:pPr>
                    <w:pStyle w:val="17"/>
                    <w:bidi w:val="0"/>
                    <w:rPr>
                      <w:rFonts w:hint="eastAsia"/>
                      <w:color w:val="auto"/>
                      <w:highlight w:val="none"/>
                    </w:rPr>
                  </w:pPr>
                  <w:r>
                    <w:rPr>
                      <w:rFonts w:hint="eastAsia"/>
                      <w:color w:val="auto"/>
                      <w:highlight w:val="none"/>
                      <w:lang w:val="en-US" w:eastAsia="zh-CN"/>
                    </w:rPr>
                    <w:t>建设用地及其他土地</w:t>
                  </w:r>
                </w:p>
              </w:tc>
              <w:tc>
                <w:tcPr>
                  <w:tcW w:w="1613" w:type="dxa"/>
                  <w:tcBorders>
                    <w:tl2br w:val="nil"/>
                    <w:tr2bl w:val="nil"/>
                  </w:tcBorders>
                  <w:noWrap w:val="0"/>
                  <w:vAlign w:val="center"/>
                </w:tcPr>
                <w:p w14:paraId="1D56D929">
                  <w:pPr>
                    <w:keepNext w:val="0"/>
                    <w:keepLines w:val="0"/>
                    <w:widowControl/>
                    <w:suppressLineNumbers w:val="0"/>
                    <w:jc w:val="center"/>
                    <w:textAlignment w:val="center"/>
                    <w:rPr>
                      <w:rFonts w:hint="eastAsia"/>
                      <w:color w:val="auto"/>
                    </w:rPr>
                  </w:pPr>
                  <w:r>
                    <w:rPr>
                      <w:rFonts w:hint="eastAsia" w:ascii="宋体" w:hAnsi="宋体" w:eastAsia="宋体" w:cs="宋体"/>
                      <w:i w:val="0"/>
                      <w:iCs w:val="0"/>
                      <w:color w:val="auto"/>
                      <w:kern w:val="0"/>
                      <w:sz w:val="22"/>
                      <w:szCs w:val="22"/>
                      <w:u w:val="none"/>
                      <w:lang w:val="en-US" w:eastAsia="zh-CN" w:bidi="ar"/>
                    </w:rPr>
                    <w:t>14.21%</w:t>
                  </w:r>
                </w:p>
              </w:tc>
              <w:tc>
                <w:tcPr>
                  <w:tcW w:w="1243" w:type="dxa"/>
                  <w:tcBorders>
                    <w:tl2br w:val="nil"/>
                    <w:tr2bl w:val="nil"/>
                  </w:tcBorders>
                  <w:noWrap w:val="0"/>
                  <w:vAlign w:val="center"/>
                </w:tcPr>
                <w:p w14:paraId="17EDAD68">
                  <w:pPr>
                    <w:keepNext w:val="0"/>
                    <w:keepLines w:val="0"/>
                    <w:widowControl/>
                    <w:suppressLineNumbers w:val="0"/>
                    <w:jc w:val="center"/>
                    <w:textAlignment w:val="center"/>
                    <w:rPr>
                      <w:rFonts w:hint="eastAsia"/>
                      <w:color w:val="auto"/>
                    </w:rPr>
                  </w:pPr>
                  <w:r>
                    <w:rPr>
                      <w:rFonts w:hint="eastAsia" w:ascii="宋体" w:hAnsi="宋体" w:eastAsia="宋体" w:cs="宋体"/>
                      <w:i w:val="0"/>
                      <w:iCs w:val="0"/>
                      <w:color w:val="auto"/>
                      <w:kern w:val="0"/>
                      <w:sz w:val="22"/>
                      <w:szCs w:val="22"/>
                      <w:u w:val="none"/>
                      <w:lang w:val="en-US" w:eastAsia="zh-CN" w:bidi="ar"/>
                    </w:rPr>
                    <w:t>16.18%</w:t>
                  </w:r>
                </w:p>
              </w:tc>
              <w:tc>
                <w:tcPr>
                  <w:tcW w:w="1356" w:type="dxa"/>
                  <w:tcBorders>
                    <w:tl2br w:val="nil"/>
                    <w:tr2bl w:val="nil"/>
                  </w:tcBorders>
                  <w:noWrap w:val="0"/>
                  <w:vAlign w:val="center"/>
                </w:tcPr>
                <w:p w14:paraId="12F89B0D">
                  <w:pPr>
                    <w:keepNext w:val="0"/>
                    <w:keepLines w:val="0"/>
                    <w:widowControl/>
                    <w:suppressLineNumbers w:val="0"/>
                    <w:jc w:val="center"/>
                    <w:textAlignment w:val="center"/>
                    <w:rPr>
                      <w:rFonts w:hint="eastAsia"/>
                      <w:color w:val="auto"/>
                    </w:rPr>
                  </w:pPr>
                  <w:r>
                    <w:rPr>
                      <w:rFonts w:hint="eastAsia" w:ascii="宋体" w:hAnsi="宋体" w:eastAsia="宋体" w:cs="宋体"/>
                      <w:i w:val="0"/>
                      <w:iCs w:val="0"/>
                      <w:color w:val="auto"/>
                      <w:kern w:val="0"/>
                      <w:sz w:val="22"/>
                      <w:szCs w:val="22"/>
                      <w:u w:val="none"/>
                      <w:lang w:val="en-US" w:eastAsia="zh-CN" w:bidi="ar"/>
                    </w:rPr>
                    <w:t>40.68%</w:t>
                  </w:r>
                </w:p>
              </w:tc>
              <w:tc>
                <w:tcPr>
                  <w:tcW w:w="1391" w:type="dxa"/>
                  <w:tcBorders>
                    <w:tl2br w:val="nil"/>
                    <w:tr2bl w:val="nil"/>
                  </w:tcBorders>
                  <w:noWrap w:val="0"/>
                  <w:vAlign w:val="center"/>
                </w:tcPr>
                <w:p w14:paraId="36DCB52E">
                  <w:pPr>
                    <w:keepNext w:val="0"/>
                    <w:keepLines w:val="0"/>
                    <w:widowControl/>
                    <w:suppressLineNumbers w:val="0"/>
                    <w:jc w:val="center"/>
                    <w:textAlignment w:val="center"/>
                    <w:rPr>
                      <w:rFonts w:hint="eastAsia"/>
                      <w:color w:val="auto"/>
                    </w:rPr>
                  </w:pPr>
                  <w:r>
                    <w:rPr>
                      <w:rFonts w:hint="eastAsia" w:ascii="宋体" w:hAnsi="宋体" w:eastAsia="宋体" w:cs="宋体"/>
                      <w:i w:val="0"/>
                      <w:iCs w:val="0"/>
                      <w:color w:val="auto"/>
                      <w:kern w:val="0"/>
                      <w:sz w:val="22"/>
                      <w:szCs w:val="22"/>
                      <w:u w:val="none"/>
                      <w:lang w:val="en-US" w:eastAsia="zh-CN" w:bidi="ar"/>
                    </w:rPr>
                    <w:t>27.54%</w:t>
                  </w:r>
                </w:p>
              </w:tc>
            </w:tr>
          </w:tbl>
          <w:p w14:paraId="77B8ED9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由上表可知：</w:t>
            </w:r>
            <w:r>
              <w:rPr>
                <w:rFonts w:hint="eastAsia" w:ascii="宋体" w:hAnsi="宋体" w:cs="宋体"/>
                <w:color w:val="auto"/>
                <w:sz w:val="24"/>
                <w:szCs w:val="24"/>
                <w:highlight w:val="none"/>
                <w:lang w:eastAsia="zh-CN"/>
              </w:rPr>
              <w:t>评价</w:t>
            </w:r>
            <w:r>
              <w:rPr>
                <w:rFonts w:hint="eastAsia" w:ascii="宋体" w:hAnsi="宋体" w:eastAsia="宋体" w:cs="宋体"/>
                <w:color w:val="auto"/>
                <w:sz w:val="24"/>
                <w:szCs w:val="24"/>
                <w:highlight w:val="none"/>
                <w:lang w:eastAsia="zh-CN"/>
              </w:rPr>
              <w:t>区各斑块类型中，</w:t>
            </w:r>
            <w:r>
              <w:rPr>
                <w:rFonts w:hint="eastAsia" w:ascii="宋体" w:hAnsi="宋体" w:cs="宋体"/>
                <w:color w:val="auto"/>
                <w:sz w:val="24"/>
                <w:szCs w:val="24"/>
                <w:highlight w:val="none"/>
                <w:lang w:eastAsia="zh-CN"/>
              </w:rPr>
              <w:t>建设用地</w:t>
            </w:r>
            <w:r>
              <w:rPr>
                <w:rFonts w:hint="eastAsia" w:ascii="宋体" w:hAnsi="宋体" w:eastAsia="宋体" w:cs="宋体"/>
                <w:color w:val="auto"/>
                <w:sz w:val="24"/>
                <w:szCs w:val="24"/>
                <w:highlight w:val="none"/>
                <w:lang w:eastAsia="zh-CN"/>
              </w:rPr>
              <w:t>、林地的优势度Do较高，说明</w:t>
            </w:r>
            <w:r>
              <w:rPr>
                <w:rFonts w:hint="eastAsia" w:ascii="宋体" w:hAnsi="宋体" w:cs="宋体"/>
                <w:color w:val="auto"/>
                <w:sz w:val="24"/>
                <w:szCs w:val="24"/>
                <w:highlight w:val="none"/>
                <w:lang w:eastAsia="zh-CN"/>
              </w:rPr>
              <w:t>建设用地</w:t>
            </w:r>
            <w:r>
              <w:rPr>
                <w:rFonts w:hint="eastAsia" w:ascii="宋体" w:hAnsi="宋体" w:eastAsia="宋体" w:cs="宋体"/>
                <w:color w:val="auto"/>
                <w:sz w:val="24"/>
                <w:szCs w:val="24"/>
                <w:highlight w:val="none"/>
                <w:lang w:eastAsia="zh-CN"/>
              </w:rPr>
              <w:t>、林地是评价区内的模地，是本区域内对景观具有控制作用的生态体系部分，所以区域景观生态体系生产能力和抗干扰能力受人为干扰程度较高；评价区水域、</w:t>
            </w:r>
            <w:r>
              <w:rPr>
                <w:rFonts w:hint="eastAsia" w:ascii="宋体" w:hAnsi="宋体" w:cs="宋体"/>
                <w:color w:val="auto"/>
                <w:sz w:val="24"/>
                <w:szCs w:val="24"/>
                <w:highlight w:val="none"/>
                <w:lang w:eastAsia="zh-CN"/>
              </w:rPr>
              <w:t>耕地</w:t>
            </w:r>
            <w:r>
              <w:rPr>
                <w:rFonts w:hint="eastAsia" w:ascii="宋体" w:hAnsi="宋体" w:eastAsia="宋体" w:cs="宋体"/>
                <w:color w:val="auto"/>
                <w:sz w:val="24"/>
                <w:szCs w:val="24"/>
                <w:highlight w:val="none"/>
                <w:lang w:eastAsia="zh-CN"/>
              </w:rPr>
              <w:t>等景观类型均有分布，说明了评价区内的生态系统在该地区经过多年发展，已形成了集农、林等人工综合的生态系统。</w:t>
            </w:r>
          </w:p>
          <w:p w14:paraId="54EC3BEB">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b/>
                <w:bCs/>
                <w:color w:val="auto"/>
                <w:sz w:val="24"/>
                <w:szCs w:val="24"/>
              </w:rPr>
            </w:pPr>
            <w:r>
              <w:rPr>
                <w:rFonts w:hint="eastAsia"/>
                <w:b/>
                <w:bCs/>
                <w:color w:val="auto"/>
                <w:sz w:val="24"/>
                <w:szCs w:val="24"/>
                <w:lang w:val="en-US" w:eastAsia="zh-CN"/>
              </w:rPr>
              <w:t>3</w:t>
            </w:r>
            <w:r>
              <w:rPr>
                <w:rFonts w:hint="eastAsia"/>
                <w:b/>
                <w:bCs/>
                <w:color w:val="auto"/>
                <w:sz w:val="24"/>
                <w:szCs w:val="24"/>
              </w:rPr>
              <w:t>、大气环境质量现状</w:t>
            </w:r>
          </w:p>
          <w:p w14:paraId="2701B03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auto"/>
                <w:sz w:val="24"/>
                <w:szCs w:val="24"/>
                <w:lang w:val="en-US" w:eastAsia="zh-CN"/>
              </w:rPr>
            </w:pPr>
            <w:r>
              <w:rPr>
                <w:rFonts w:hint="default" w:ascii="宋体" w:hAnsi="宋体" w:eastAsia="宋体" w:cs="宋体"/>
                <w:b w:val="0"/>
                <w:bCs w:val="0"/>
                <w:color w:val="auto"/>
                <w:sz w:val="24"/>
                <w:szCs w:val="24"/>
                <w:lang w:val="en-US" w:eastAsia="zh-CN"/>
              </w:rPr>
              <w:t>根据生态环境部回复“2026年3月1日至2030年12月31日期间审批的建设项目，应基于获取的基准年环境质量现状数据，按照新标准中“过渡阶段浓度限值”进行达标判定，不再以旧标准评价的基准年环境质量公告或环境质量报告结论为准”。</w:t>
            </w:r>
            <w:r>
              <w:rPr>
                <w:rFonts w:hint="eastAsia" w:ascii="宋体" w:hAnsi="宋体" w:cs="宋体"/>
                <w:b w:val="0"/>
                <w:bCs w:val="0"/>
                <w:color w:val="auto"/>
                <w:sz w:val="24"/>
                <w:szCs w:val="24"/>
                <w:lang w:val="en-US" w:eastAsia="zh-CN"/>
              </w:rPr>
              <w:t>因此</w:t>
            </w:r>
            <w:r>
              <w:rPr>
                <w:rFonts w:hint="eastAsia" w:ascii="宋体" w:hAnsi="宋体" w:eastAsia="宋体" w:cs="宋体"/>
                <w:b w:val="0"/>
                <w:bCs w:val="0"/>
                <w:color w:val="auto"/>
                <w:sz w:val="24"/>
                <w:szCs w:val="24"/>
                <w:lang w:val="en-US" w:eastAsia="zh-CN"/>
              </w:rPr>
              <w:t>根据岳阳市202</w:t>
            </w:r>
            <w:r>
              <w:rPr>
                <w:rFonts w:hint="eastAsia" w:ascii="宋体" w:hAnsi="宋体" w:cs="宋体"/>
                <w:b w:val="0"/>
                <w:bCs w:val="0"/>
                <w:color w:val="auto"/>
                <w:sz w:val="24"/>
                <w:szCs w:val="24"/>
                <w:lang w:val="en-US" w:eastAsia="zh-CN"/>
              </w:rPr>
              <w:t>5</w:t>
            </w:r>
            <w:r>
              <w:rPr>
                <w:rFonts w:hint="eastAsia" w:ascii="宋体" w:hAnsi="宋体" w:eastAsia="宋体" w:cs="宋体"/>
                <w:b w:val="0"/>
                <w:bCs w:val="0"/>
                <w:color w:val="auto"/>
                <w:sz w:val="24"/>
                <w:szCs w:val="24"/>
                <w:lang w:val="en-US" w:eastAsia="zh-CN"/>
              </w:rPr>
              <w:t>年</w:t>
            </w:r>
            <w:r>
              <w:rPr>
                <w:rFonts w:hint="eastAsia" w:ascii="宋体" w:hAnsi="宋体" w:cs="宋体"/>
                <w:b w:val="0"/>
                <w:bCs w:val="0"/>
                <w:color w:val="auto"/>
                <w:sz w:val="24"/>
                <w:szCs w:val="24"/>
                <w:lang w:val="en-US" w:eastAsia="zh-CN"/>
              </w:rPr>
              <w:t>度</w:t>
            </w:r>
            <w:r>
              <w:rPr>
                <w:rFonts w:hint="eastAsia" w:ascii="宋体" w:hAnsi="宋体" w:eastAsia="宋体" w:cs="宋体"/>
                <w:b w:val="0"/>
                <w:bCs w:val="0"/>
                <w:color w:val="auto"/>
                <w:sz w:val="24"/>
                <w:szCs w:val="24"/>
                <w:lang w:val="en-US" w:eastAsia="zh-CN"/>
              </w:rPr>
              <w:t>生态环境</w:t>
            </w:r>
            <w:r>
              <w:rPr>
                <w:rFonts w:hint="eastAsia" w:ascii="宋体" w:hAnsi="宋体" w:cs="宋体"/>
                <w:b w:val="0"/>
                <w:bCs w:val="0"/>
                <w:color w:val="auto"/>
                <w:sz w:val="24"/>
                <w:szCs w:val="24"/>
                <w:lang w:val="en-US" w:eastAsia="zh-CN"/>
              </w:rPr>
              <w:t>质量公报，</w:t>
            </w:r>
            <w:r>
              <w:rPr>
                <w:rFonts w:hint="eastAsia" w:ascii="宋体" w:hAnsi="宋体" w:eastAsia="宋体" w:cs="宋体"/>
                <w:b w:val="0"/>
                <w:bCs w:val="0"/>
                <w:color w:val="auto"/>
                <w:sz w:val="24"/>
                <w:szCs w:val="24"/>
                <w:lang w:val="en-US" w:eastAsia="zh-CN"/>
              </w:rPr>
              <w:t>岳阳市城区202</w:t>
            </w:r>
            <w:r>
              <w:rPr>
                <w:rFonts w:hint="eastAsia" w:ascii="宋体" w:hAnsi="宋体" w:cs="宋体"/>
                <w:b w:val="0"/>
                <w:bCs w:val="0"/>
                <w:color w:val="auto"/>
                <w:sz w:val="24"/>
                <w:szCs w:val="24"/>
                <w:lang w:val="en-US" w:eastAsia="zh-CN"/>
              </w:rPr>
              <w:t>5</w:t>
            </w:r>
            <w:r>
              <w:rPr>
                <w:rFonts w:hint="eastAsia" w:ascii="宋体" w:hAnsi="宋体" w:eastAsia="宋体" w:cs="宋体"/>
                <w:b w:val="0"/>
                <w:bCs w:val="0"/>
                <w:color w:val="auto"/>
                <w:sz w:val="24"/>
                <w:szCs w:val="24"/>
                <w:lang w:val="en-US" w:eastAsia="zh-CN"/>
              </w:rPr>
              <w:t>年环境空气质量监测及评价结果见下表。</w:t>
            </w:r>
          </w:p>
          <w:p w14:paraId="580D368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b/>
                <w:bCs/>
                <w:color w:val="auto"/>
                <w:sz w:val="24"/>
                <w:szCs w:val="24"/>
                <w:lang w:val="en-US" w:eastAsia="zh-CN"/>
              </w:rPr>
            </w:pPr>
            <w:r>
              <w:rPr>
                <w:rFonts w:hint="default" w:ascii="Times New Roman" w:hAnsi="Times New Roman" w:eastAsia="宋体" w:cs="Times New Roman"/>
                <w:b/>
                <w:bCs/>
                <w:color w:val="auto"/>
                <w:sz w:val="24"/>
                <w:szCs w:val="24"/>
                <w:lang w:val="en-US" w:eastAsia="zh-CN"/>
              </w:rPr>
              <w:t>表3</w:t>
            </w:r>
            <w:r>
              <w:rPr>
                <w:rFonts w:hint="eastAsia" w:ascii="Times New Roman" w:hAnsi="Times New Roman" w:eastAsia="宋体" w:cs="Times New Roman"/>
                <w:b/>
                <w:bCs/>
                <w:color w:val="auto"/>
                <w:sz w:val="24"/>
                <w:szCs w:val="24"/>
                <w:lang w:val="en-US" w:eastAsia="zh-CN"/>
              </w:rPr>
              <w:t>.9</w:t>
            </w:r>
            <w:r>
              <w:rPr>
                <w:rFonts w:hint="default" w:ascii="Times New Roman" w:hAnsi="Times New Roman" w:eastAsia="宋体" w:cs="Times New Roman"/>
                <w:b/>
                <w:bCs/>
                <w:color w:val="auto"/>
                <w:sz w:val="24"/>
                <w:szCs w:val="24"/>
                <w:lang w:val="en-US" w:eastAsia="zh-CN"/>
              </w:rPr>
              <w:t xml:space="preserve">  </w:t>
            </w:r>
            <w:r>
              <w:rPr>
                <w:rFonts w:hint="eastAsia" w:ascii="Times New Roman" w:hAnsi="Times New Roman" w:eastAsia="宋体" w:cs="Times New Roman"/>
                <w:b/>
                <w:bCs/>
                <w:color w:val="auto"/>
                <w:sz w:val="24"/>
                <w:szCs w:val="24"/>
                <w:lang w:val="en-US" w:eastAsia="zh-CN"/>
              </w:rPr>
              <w:t>区域空气质量现状评价表</w:t>
            </w:r>
          </w:p>
          <w:tbl>
            <w:tblPr>
              <w:tblStyle w:val="9"/>
              <w:tblW w:w="4996" w:type="pct"/>
              <w:tblInd w:w="-11"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37"/>
              <w:gridCol w:w="763"/>
              <w:gridCol w:w="2781"/>
              <w:gridCol w:w="1125"/>
              <w:gridCol w:w="1062"/>
              <w:gridCol w:w="925"/>
              <w:gridCol w:w="930"/>
            </w:tblGrid>
            <w:tr w14:paraId="637DB0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87" w:type="pct"/>
                  <w:tcBorders>
                    <w:tl2br w:val="nil"/>
                    <w:tr2bl w:val="nil"/>
                  </w:tcBorders>
                  <w:vAlign w:val="center"/>
                </w:tcPr>
                <w:p w14:paraId="0BEB314E">
                  <w:pPr>
                    <w:pStyle w:val="24"/>
                    <w:spacing w:line="276" w:lineRule="auto"/>
                    <w:rPr>
                      <w:color w:val="auto"/>
                      <w:kern w:val="0"/>
                      <w:sz w:val="21"/>
                      <w:szCs w:val="21"/>
                      <w:u w:val="none"/>
                    </w:rPr>
                  </w:pPr>
                  <w:r>
                    <w:rPr>
                      <w:color w:val="auto"/>
                      <w:sz w:val="21"/>
                      <w:szCs w:val="21"/>
                      <w:u w:val="none"/>
                    </w:rPr>
                    <w:t>所在区域</w:t>
                  </w:r>
                </w:p>
              </w:tc>
              <w:tc>
                <w:tcPr>
                  <w:tcW w:w="463" w:type="pct"/>
                  <w:tcBorders>
                    <w:tl2br w:val="nil"/>
                    <w:tr2bl w:val="nil"/>
                  </w:tcBorders>
                  <w:vAlign w:val="center"/>
                </w:tcPr>
                <w:p w14:paraId="1B37BA3B">
                  <w:pPr>
                    <w:pStyle w:val="24"/>
                    <w:spacing w:line="276" w:lineRule="auto"/>
                    <w:rPr>
                      <w:color w:val="auto"/>
                      <w:sz w:val="21"/>
                      <w:szCs w:val="21"/>
                      <w:u w:val="none"/>
                    </w:rPr>
                  </w:pPr>
                  <w:r>
                    <w:rPr>
                      <w:color w:val="auto"/>
                      <w:sz w:val="21"/>
                      <w:szCs w:val="21"/>
                      <w:u w:val="none"/>
                    </w:rPr>
                    <w:t>监测</w:t>
                  </w:r>
                </w:p>
                <w:p w14:paraId="65FEED22">
                  <w:pPr>
                    <w:pStyle w:val="24"/>
                    <w:spacing w:line="276" w:lineRule="auto"/>
                    <w:rPr>
                      <w:color w:val="auto"/>
                      <w:kern w:val="0"/>
                      <w:sz w:val="21"/>
                      <w:szCs w:val="21"/>
                      <w:u w:val="none"/>
                    </w:rPr>
                  </w:pPr>
                  <w:r>
                    <w:rPr>
                      <w:color w:val="auto"/>
                      <w:sz w:val="21"/>
                      <w:szCs w:val="21"/>
                      <w:u w:val="none"/>
                    </w:rPr>
                    <w:t>项目</w:t>
                  </w:r>
                </w:p>
              </w:tc>
              <w:tc>
                <w:tcPr>
                  <w:tcW w:w="1690" w:type="pct"/>
                  <w:tcBorders>
                    <w:tl2br w:val="nil"/>
                    <w:tr2bl w:val="nil"/>
                  </w:tcBorders>
                  <w:vAlign w:val="center"/>
                </w:tcPr>
                <w:p w14:paraId="2411B6C6">
                  <w:pPr>
                    <w:pStyle w:val="24"/>
                    <w:spacing w:line="276" w:lineRule="auto"/>
                    <w:rPr>
                      <w:color w:val="auto"/>
                      <w:kern w:val="0"/>
                      <w:sz w:val="21"/>
                      <w:szCs w:val="21"/>
                      <w:u w:val="none"/>
                    </w:rPr>
                  </w:pPr>
                  <w:r>
                    <w:rPr>
                      <w:color w:val="auto"/>
                      <w:sz w:val="21"/>
                      <w:szCs w:val="21"/>
                      <w:u w:val="none"/>
                    </w:rPr>
                    <w:t>年评价指标</w:t>
                  </w:r>
                </w:p>
              </w:tc>
              <w:tc>
                <w:tcPr>
                  <w:tcW w:w="684" w:type="pct"/>
                  <w:tcBorders>
                    <w:tl2br w:val="nil"/>
                    <w:tr2bl w:val="nil"/>
                  </w:tcBorders>
                  <w:vAlign w:val="center"/>
                </w:tcPr>
                <w:p w14:paraId="31F5D45A">
                  <w:pPr>
                    <w:pStyle w:val="24"/>
                    <w:spacing w:line="276" w:lineRule="auto"/>
                    <w:rPr>
                      <w:color w:val="auto"/>
                      <w:kern w:val="0"/>
                      <w:sz w:val="21"/>
                      <w:szCs w:val="21"/>
                      <w:u w:val="none"/>
                    </w:rPr>
                  </w:pPr>
                  <w:r>
                    <w:rPr>
                      <w:color w:val="auto"/>
                      <w:sz w:val="21"/>
                      <w:szCs w:val="21"/>
                      <w:u w:val="none"/>
                    </w:rPr>
                    <w:t>现状浓度（ug/m</w:t>
                  </w:r>
                  <w:r>
                    <w:rPr>
                      <w:color w:val="auto"/>
                      <w:sz w:val="21"/>
                      <w:szCs w:val="21"/>
                      <w:u w:val="none"/>
                      <w:vertAlign w:val="superscript"/>
                    </w:rPr>
                    <w:t>3</w:t>
                  </w:r>
                  <w:r>
                    <w:rPr>
                      <w:color w:val="auto"/>
                      <w:sz w:val="21"/>
                      <w:szCs w:val="21"/>
                      <w:u w:val="none"/>
                    </w:rPr>
                    <w:t>）</w:t>
                  </w:r>
                </w:p>
              </w:tc>
              <w:tc>
                <w:tcPr>
                  <w:tcW w:w="645" w:type="pct"/>
                  <w:tcBorders>
                    <w:tl2br w:val="nil"/>
                    <w:tr2bl w:val="nil"/>
                  </w:tcBorders>
                  <w:vAlign w:val="center"/>
                </w:tcPr>
                <w:p w14:paraId="551C1CD0">
                  <w:pPr>
                    <w:pStyle w:val="24"/>
                    <w:spacing w:line="276" w:lineRule="auto"/>
                    <w:rPr>
                      <w:color w:val="auto"/>
                      <w:sz w:val="21"/>
                      <w:szCs w:val="21"/>
                      <w:u w:val="none"/>
                    </w:rPr>
                  </w:pPr>
                  <w:r>
                    <w:rPr>
                      <w:color w:val="auto"/>
                      <w:sz w:val="21"/>
                      <w:szCs w:val="21"/>
                      <w:u w:val="none"/>
                    </w:rPr>
                    <w:t>标准值</w:t>
                  </w:r>
                </w:p>
                <w:p w14:paraId="09E88040">
                  <w:pPr>
                    <w:pStyle w:val="24"/>
                    <w:spacing w:line="276" w:lineRule="auto"/>
                    <w:rPr>
                      <w:color w:val="auto"/>
                      <w:kern w:val="0"/>
                      <w:sz w:val="21"/>
                      <w:szCs w:val="21"/>
                      <w:u w:val="none"/>
                    </w:rPr>
                  </w:pPr>
                  <w:r>
                    <w:rPr>
                      <w:color w:val="auto"/>
                      <w:sz w:val="21"/>
                      <w:szCs w:val="21"/>
                      <w:u w:val="none"/>
                    </w:rPr>
                    <w:t>（ug/m</w:t>
                  </w:r>
                  <w:r>
                    <w:rPr>
                      <w:color w:val="auto"/>
                      <w:sz w:val="21"/>
                      <w:szCs w:val="21"/>
                      <w:u w:val="none"/>
                      <w:vertAlign w:val="superscript"/>
                    </w:rPr>
                    <w:t>3</w:t>
                  </w:r>
                  <w:r>
                    <w:rPr>
                      <w:color w:val="auto"/>
                      <w:sz w:val="21"/>
                      <w:szCs w:val="21"/>
                      <w:u w:val="none"/>
                    </w:rPr>
                    <w:t>）</w:t>
                  </w:r>
                </w:p>
              </w:tc>
              <w:tc>
                <w:tcPr>
                  <w:tcW w:w="562" w:type="pct"/>
                  <w:tcBorders>
                    <w:tl2br w:val="nil"/>
                    <w:tr2bl w:val="nil"/>
                  </w:tcBorders>
                  <w:vAlign w:val="center"/>
                </w:tcPr>
                <w:p w14:paraId="0AC7A499">
                  <w:pPr>
                    <w:pStyle w:val="24"/>
                    <w:spacing w:line="276" w:lineRule="auto"/>
                    <w:rPr>
                      <w:rFonts w:hint="eastAsia" w:eastAsia="宋体"/>
                      <w:color w:val="auto"/>
                      <w:kern w:val="0"/>
                      <w:sz w:val="21"/>
                      <w:szCs w:val="21"/>
                      <w:u w:val="none"/>
                      <w:lang w:eastAsia="zh-CN"/>
                    </w:rPr>
                  </w:pPr>
                  <w:r>
                    <w:rPr>
                      <w:rFonts w:hint="eastAsia"/>
                      <w:color w:val="auto"/>
                      <w:sz w:val="21"/>
                      <w:szCs w:val="21"/>
                      <w:u w:val="none"/>
                      <w:lang w:val="en-US" w:eastAsia="zh-CN"/>
                    </w:rPr>
                    <w:t>占标率（%）</w:t>
                  </w:r>
                </w:p>
              </w:tc>
              <w:tc>
                <w:tcPr>
                  <w:tcW w:w="565" w:type="pct"/>
                  <w:tcBorders>
                    <w:tl2br w:val="nil"/>
                    <w:tr2bl w:val="nil"/>
                  </w:tcBorders>
                  <w:vAlign w:val="center"/>
                </w:tcPr>
                <w:p w14:paraId="073EAA57">
                  <w:pPr>
                    <w:pStyle w:val="24"/>
                    <w:spacing w:line="276" w:lineRule="auto"/>
                    <w:rPr>
                      <w:color w:val="auto"/>
                      <w:kern w:val="0"/>
                      <w:sz w:val="21"/>
                      <w:szCs w:val="21"/>
                      <w:u w:val="none"/>
                    </w:rPr>
                  </w:pPr>
                  <w:r>
                    <w:rPr>
                      <w:color w:val="auto"/>
                      <w:sz w:val="21"/>
                      <w:szCs w:val="21"/>
                      <w:u w:val="none"/>
                    </w:rPr>
                    <w:t>达标情况</w:t>
                  </w:r>
                </w:p>
              </w:tc>
            </w:tr>
            <w:tr w14:paraId="6FD96E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87" w:type="pct"/>
                  <w:vMerge w:val="restart"/>
                  <w:tcBorders>
                    <w:tl2br w:val="nil"/>
                    <w:tr2bl w:val="nil"/>
                  </w:tcBorders>
                  <w:vAlign w:val="center"/>
                </w:tcPr>
                <w:p w14:paraId="28299EB1">
                  <w:pPr>
                    <w:pStyle w:val="24"/>
                    <w:spacing w:line="276" w:lineRule="auto"/>
                    <w:rPr>
                      <w:rFonts w:hint="eastAsia" w:eastAsia="宋体"/>
                      <w:color w:val="auto"/>
                      <w:kern w:val="0"/>
                      <w:sz w:val="21"/>
                      <w:szCs w:val="21"/>
                      <w:u w:val="none"/>
                      <w:lang w:eastAsia="zh-CN"/>
                    </w:rPr>
                  </w:pPr>
                  <w:r>
                    <w:rPr>
                      <w:rFonts w:hint="eastAsia"/>
                      <w:color w:val="auto"/>
                      <w:sz w:val="21"/>
                      <w:szCs w:val="21"/>
                      <w:u w:val="none"/>
                      <w:lang w:eastAsia="zh-CN"/>
                    </w:rPr>
                    <w:t>岳阳市</w:t>
                  </w:r>
                </w:p>
              </w:tc>
              <w:tc>
                <w:tcPr>
                  <w:tcW w:w="463" w:type="pct"/>
                  <w:tcBorders>
                    <w:tl2br w:val="nil"/>
                    <w:tr2bl w:val="nil"/>
                  </w:tcBorders>
                  <w:vAlign w:val="center"/>
                </w:tcPr>
                <w:p w14:paraId="7DC71C7C">
                  <w:pPr>
                    <w:pStyle w:val="24"/>
                    <w:spacing w:line="276" w:lineRule="auto"/>
                    <w:rPr>
                      <w:color w:val="auto"/>
                      <w:kern w:val="0"/>
                      <w:sz w:val="21"/>
                      <w:szCs w:val="21"/>
                      <w:u w:val="none"/>
                    </w:rPr>
                  </w:pPr>
                  <w:r>
                    <w:rPr>
                      <w:color w:val="auto"/>
                      <w:sz w:val="21"/>
                      <w:szCs w:val="21"/>
                      <w:u w:val="none"/>
                    </w:rPr>
                    <w:t>SO</w:t>
                  </w:r>
                  <w:r>
                    <w:rPr>
                      <w:color w:val="auto"/>
                      <w:sz w:val="21"/>
                      <w:szCs w:val="21"/>
                      <w:u w:val="none"/>
                      <w:vertAlign w:val="subscript"/>
                    </w:rPr>
                    <w:t>2</w:t>
                  </w:r>
                </w:p>
              </w:tc>
              <w:tc>
                <w:tcPr>
                  <w:tcW w:w="1690" w:type="pct"/>
                  <w:tcBorders>
                    <w:tl2br w:val="nil"/>
                    <w:tr2bl w:val="nil"/>
                  </w:tcBorders>
                  <w:vAlign w:val="center"/>
                </w:tcPr>
                <w:p w14:paraId="28D11307">
                  <w:pPr>
                    <w:pStyle w:val="24"/>
                    <w:spacing w:line="276" w:lineRule="auto"/>
                    <w:rPr>
                      <w:color w:val="auto"/>
                      <w:kern w:val="0"/>
                      <w:sz w:val="21"/>
                      <w:szCs w:val="21"/>
                      <w:u w:val="none"/>
                    </w:rPr>
                  </w:pPr>
                  <w:r>
                    <w:rPr>
                      <w:color w:val="auto"/>
                      <w:sz w:val="21"/>
                      <w:szCs w:val="21"/>
                      <w:u w:val="none"/>
                    </w:rPr>
                    <w:t>年平均</w:t>
                  </w:r>
                </w:p>
              </w:tc>
              <w:tc>
                <w:tcPr>
                  <w:tcW w:w="684" w:type="pct"/>
                  <w:tcBorders>
                    <w:tl2br w:val="nil"/>
                    <w:tr2bl w:val="nil"/>
                  </w:tcBorders>
                  <w:vAlign w:val="center"/>
                </w:tcPr>
                <w:p w14:paraId="771E0DD7">
                  <w:pPr>
                    <w:snapToGrid w:val="0"/>
                    <w:spacing w:line="276" w:lineRule="auto"/>
                    <w:jc w:val="center"/>
                    <w:rPr>
                      <w:rFonts w:hint="eastAsia" w:ascii="Times New Roman" w:hAnsi="Times New Roman" w:eastAsia="宋体" w:cs="Times New Roman"/>
                      <w:color w:val="auto"/>
                      <w:kern w:val="0"/>
                      <w:sz w:val="21"/>
                      <w:szCs w:val="21"/>
                      <w:u w:val="none"/>
                      <w:lang w:val="en-US" w:eastAsia="zh-CN"/>
                    </w:rPr>
                  </w:pPr>
                  <w:r>
                    <w:rPr>
                      <w:rFonts w:hint="eastAsia" w:cs="Times New Roman"/>
                      <w:color w:val="auto"/>
                      <w:kern w:val="0"/>
                      <w:sz w:val="21"/>
                      <w:szCs w:val="21"/>
                      <w:u w:val="none"/>
                      <w:lang w:val="en-US" w:eastAsia="zh-CN"/>
                    </w:rPr>
                    <w:t>8</w:t>
                  </w:r>
                </w:p>
              </w:tc>
              <w:tc>
                <w:tcPr>
                  <w:tcW w:w="645" w:type="pct"/>
                  <w:tcBorders>
                    <w:tl2br w:val="nil"/>
                    <w:tr2bl w:val="nil"/>
                  </w:tcBorders>
                  <w:vAlign w:val="center"/>
                </w:tcPr>
                <w:p w14:paraId="3AA083D3">
                  <w:pPr>
                    <w:spacing w:line="276" w:lineRule="auto"/>
                    <w:jc w:val="center"/>
                    <w:rPr>
                      <w:color w:val="auto"/>
                      <w:kern w:val="0"/>
                      <w:sz w:val="21"/>
                      <w:szCs w:val="21"/>
                      <w:u w:val="none"/>
                    </w:rPr>
                  </w:pPr>
                  <w:r>
                    <w:rPr>
                      <w:color w:val="auto"/>
                      <w:sz w:val="21"/>
                      <w:szCs w:val="21"/>
                      <w:u w:val="none"/>
                    </w:rPr>
                    <w:t>60</w:t>
                  </w:r>
                </w:p>
              </w:tc>
              <w:tc>
                <w:tcPr>
                  <w:tcW w:w="562" w:type="pct"/>
                  <w:tcBorders>
                    <w:tl2br w:val="nil"/>
                    <w:tr2bl w:val="nil"/>
                  </w:tcBorders>
                  <w:vAlign w:val="center"/>
                </w:tcPr>
                <w:p w14:paraId="293EC837">
                  <w:pPr>
                    <w:pStyle w:val="24"/>
                    <w:spacing w:line="276" w:lineRule="auto"/>
                    <w:rPr>
                      <w:rFonts w:hint="default" w:eastAsia="宋体"/>
                      <w:color w:val="auto"/>
                      <w:kern w:val="0"/>
                      <w:sz w:val="21"/>
                      <w:szCs w:val="21"/>
                      <w:u w:val="none"/>
                      <w:lang w:val="en-US" w:eastAsia="zh-CN"/>
                    </w:rPr>
                  </w:pPr>
                  <w:r>
                    <w:rPr>
                      <w:rFonts w:hint="eastAsia"/>
                      <w:color w:val="auto"/>
                      <w:kern w:val="0"/>
                      <w:sz w:val="21"/>
                      <w:szCs w:val="21"/>
                      <w:u w:val="none"/>
                      <w:lang w:val="en-US" w:eastAsia="zh-CN"/>
                    </w:rPr>
                    <w:t>13.3</w:t>
                  </w:r>
                </w:p>
              </w:tc>
              <w:tc>
                <w:tcPr>
                  <w:tcW w:w="565" w:type="pct"/>
                  <w:tcBorders>
                    <w:tl2br w:val="nil"/>
                    <w:tr2bl w:val="nil"/>
                  </w:tcBorders>
                  <w:vAlign w:val="center"/>
                </w:tcPr>
                <w:p w14:paraId="6AA77E21">
                  <w:pPr>
                    <w:pStyle w:val="24"/>
                    <w:spacing w:line="276" w:lineRule="auto"/>
                    <w:rPr>
                      <w:color w:val="auto"/>
                      <w:kern w:val="0"/>
                      <w:sz w:val="21"/>
                      <w:szCs w:val="21"/>
                      <w:u w:val="none"/>
                    </w:rPr>
                  </w:pPr>
                  <w:r>
                    <w:rPr>
                      <w:color w:val="auto"/>
                      <w:sz w:val="21"/>
                      <w:szCs w:val="21"/>
                      <w:u w:val="none"/>
                    </w:rPr>
                    <w:t>达标</w:t>
                  </w:r>
                </w:p>
              </w:tc>
            </w:tr>
            <w:tr w14:paraId="795F81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87" w:type="pct"/>
                  <w:vMerge w:val="continue"/>
                  <w:tcBorders>
                    <w:tl2br w:val="nil"/>
                    <w:tr2bl w:val="nil"/>
                  </w:tcBorders>
                  <w:vAlign w:val="center"/>
                </w:tcPr>
                <w:p w14:paraId="1A86E684">
                  <w:pPr>
                    <w:pStyle w:val="24"/>
                    <w:spacing w:line="276" w:lineRule="auto"/>
                    <w:rPr>
                      <w:color w:val="auto"/>
                      <w:kern w:val="0"/>
                      <w:sz w:val="21"/>
                      <w:szCs w:val="21"/>
                      <w:u w:val="none"/>
                    </w:rPr>
                  </w:pPr>
                </w:p>
              </w:tc>
              <w:tc>
                <w:tcPr>
                  <w:tcW w:w="463" w:type="pct"/>
                  <w:tcBorders>
                    <w:tl2br w:val="nil"/>
                    <w:tr2bl w:val="nil"/>
                  </w:tcBorders>
                  <w:vAlign w:val="center"/>
                </w:tcPr>
                <w:p w14:paraId="583DAB2C">
                  <w:pPr>
                    <w:pStyle w:val="24"/>
                    <w:spacing w:line="276" w:lineRule="auto"/>
                    <w:rPr>
                      <w:color w:val="auto"/>
                      <w:kern w:val="0"/>
                      <w:sz w:val="21"/>
                      <w:szCs w:val="21"/>
                      <w:u w:val="none"/>
                    </w:rPr>
                  </w:pPr>
                  <w:r>
                    <w:rPr>
                      <w:color w:val="auto"/>
                      <w:sz w:val="21"/>
                      <w:szCs w:val="21"/>
                      <w:u w:val="none"/>
                    </w:rPr>
                    <w:t>NO</w:t>
                  </w:r>
                  <w:r>
                    <w:rPr>
                      <w:color w:val="auto"/>
                      <w:sz w:val="21"/>
                      <w:szCs w:val="21"/>
                      <w:u w:val="none"/>
                      <w:vertAlign w:val="subscript"/>
                    </w:rPr>
                    <w:t>2</w:t>
                  </w:r>
                </w:p>
              </w:tc>
              <w:tc>
                <w:tcPr>
                  <w:tcW w:w="1690" w:type="pct"/>
                  <w:tcBorders>
                    <w:tl2br w:val="nil"/>
                    <w:tr2bl w:val="nil"/>
                  </w:tcBorders>
                  <w:vAlign w:val="center"/>
                </w:tcPr>
                <w:p w14:paraId="5B65F59B">
                  <w:pPr>
                    <w:pStyle w:val="24"/>
                    <w:spacing w:line="276" w:lineRule="auto"/>
                    <w:rPr>
                      <w:color w:val="auto"/>
                      <w:kern w:val="0"/>
                      <w:sz w:val="21"/>
                      <w:szCs w:val="21"/>
                      <w:u w:val="none"/>
                    </w:rPr>
                  </w:pPr>
                  <w:r>
                    <w:rPr>
                      <w:color w:val="auto"/>
                      <w:sz w:val="21"/>
                      <w:szCs w:val="21"/>
                      <w:u w:val="none"/>
                    </w:rPr>
                    <w:t>年平均</w:t>
                  </w:r>
                </w:p>
              </w:tc>
              <w:tc>
                <w:tcPr>
                  <w:tcW w:w="684" w:type="pct"/>
                  <w:tcBorders>
                    <w:tl2br w:val="nil"/>
                    <w:tr2bl w:val="nil"/>
                  </w:tcBorders>
                  <w:vAlign w:val="center"/>
                </w:tcPr>
                <w:p w14:paraId="6486503E">
                  <w:pPr>
                    <w:snapToGrid w:val="0"/>
                    <w:spacing w:line="276" w:lineRule="auto"/>
                    <w:jc w:val="center"/>
                    <w:rPr>
                      <w:rFonts w:hint="default" w:ascii="Times New Roman" w:hAnsi="Times New Roman" w:eastAsia="宋体" w:cs="Times New Roman"/>
                      <w:color w:val="auto"/>
                      <w:kern w:val="0"/>
                      <w:sz w:val="21"/>
                      <w:szCs w:val="21"/>
                      <w:u w:val="none"/>
                      <w:lang w:val="en-US" w:eastAsia="zh-CN"/>
                    </w:rPr>
                  </w:pPr>
                  <w:r>
                    <w:rPr>
                      <w:rFonts w:hint="eastAsia" w:ascii="Times New Roman" w:hAnsi="Times New Roman" w:eastAsia="宋体" w:cs="Times New Roman"/>
                      <w:color w:val="auto"/>
                      <w:kern w:val="0"/>
                      <w:sz w:val="21"/>
                      <w:szCs w:val="21"/>
                      <w:u w:val="none"/>
                      <w:lang w:val="en-US" w:eastAsia="zh-CN"/>
                    </w:rPr>
                    <w:t>2</w:t>
                  </w:r>
                  <w:r>
                    <w:rPr>
                      <w:rFonts w:hint="eastAsia" w:cs="Times New Roman"/>
                      <w:color w:val="auto"/>
                      <w:kern w:val="0"/>
                      <w:sz w:val="21"/>
                      <w:szCs w:val="21"/>
                      <w:u w:val="none"/>
                      <w:lang w:val="en-US" w:eastAsia="zh-CN"/>
                    </w:rPr>
                    <w:t>1</w:t>
                  </w:r>
                </w:p>
              </w:tc>
              <w:tc>
                <w:tcPr>
                  <w:tcW w:w="645" w:type="pct"/>
                  <w:tcBorders>
                    <w:tl2br w:val="nil"/>
                    <w:tr2bl w:val="nil"/>
                  </w:tcBorders>
                  <w:vAlign w:val="center"/>
                </w:tcPr>
                <w:p w14:paraId="74FE4ACE">
                  <w:pPr>
                    <w:spacing w:line="276" w:lineRule="auto"/>
                    <w:jc w:val="center"/>
                    <w:rPr>
                      <w:color w:val="auto"/>
                      <w:kern w:val="0"/>
                      <w:sz w:val="21"/>
                      <w:szCs w:val="21"/>
                      <w:u w:val="none"/>
                    </w:rPr>
                  </w:pPr>
                  <w:r>
                    <w:rPr>
                      <w:color w:val="auto"/>
                      <w:sz w:val="21"/>
                      <w:szCs w:val="21"/>
                      <w:u w:val="none"/>
                    </w:rPr>
                    <w:t>40</w:t>
                  </w:r>
                </w:p>
              </w:tc>
              <w:tc>
                <w:tcPr>
                  <w:tcW w:w="562" w:type="pct"/>
                  <w:tcBorders>
                    <w:tl2br w:val="nil"/>
                    <w:tr2bl w:val="nil"/>
                  </w:tcBorders>
                  <w:vAlign w:val="center"/>
                </w:tcPr>
                <w:p w14:paraId="3F211D3B">
                  <w:pPr>
                    <w:pStyle w:val="24"/>
                    <w:spacing w:line="276" w:lineRule="auto"/>
                    <w:rPr>
                      <w:rFonts w:hint="default" w:eastAsia="宋体"/>
                      <w:color w:val="auto"/>
                      <w:kern w:val="0"/>
                      <w:sz w:val="21"/>
                      <w:szCs w:val="21"/>
                      <w:u w:val="none"/>
                      <w:lang w:val="en-US" w:eastAsia="zh-CN"/>
                    </w:rPr>
                  </w:pPr>
                  <w:r>
                    <w:rPr>
                      <w:rFonts w:hint="eastAsia"/>
                      <w:color w:val="auto"/>
                      <w:kern w:val="0"/>
                      <w:sz w:val="21"/>
                      <w:szCs w:val="21"/>
                      <w:u w:val="none"/>
                      <w:lang w:val="en-US" w:eastAsia="zh-CN"/>
                    </w:rPr>
                    <w:t>52.5</w:t>
                  </w:r>
                </w:p>
              </w:tc>
              <w:tc>
                <w:tcPr>
                  <w:tcW w:w="565" w:type="pct"/>
                  <w:tcBorders>
                    <w:tl2br w:val="nil"/>
                    <w:tr2bl w:val="nil"/>
                  </w:tcBorders>
                  <w:vAlign w:val="center"/>
                </w:tcPr>
                <w:p w14:paraId="2195BBD2">
                  <w:pPr>
                    <w:pStyle w:val="24"/>
                    <w:spacing w:line="276" w:lineRule="auto"/>
                    <w:rPr>
                      <w:color w:val="auto"/>
                      <w:kern w:val="0"/>
                      <w:sz w:val="21"/>
                      <w:szCs w:val="21"/>
                      <w:u w:val="none"/>
                    </w:rPr>
                  </w:pPr>
                  <w:r>
                    <w:rPr>
                      <w:color w:val="auto"/>
                      <w:sz w:val="21"/>
                      <w:szCs w:val="21"/>
                      <w:u w:val="none"/>
                    </w:rPr>
                    <w:t>达标</w:t>
                  </w:r>
                </w:p>
              </w:tc>
            </w:tr>
            <w:tr w14:paraId="29E6C2B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87" w:type="pct"/>
                  <w:vMerge w:val="continue"/>
                  <w:tcBorders>
                    <w:tl2br w:val="nil"/>
                    <w:tr2bl w:val="nil"/>
                  </w:tcBorders>
                  <w:vAlign w:val="center"/>
                </w:tcPr>
                <w:p w14:paraId="4A9DDDE1">
                  <w:pPr>
                    <w:pStyle w:val="24"/>
                    <w:spacing w:line="276" w:lineRule="auto"/>
                    <w:rPr>
                      <w:color w:val="auto"/>
                      <w:kern w:val="0"/>
                      <w:sz w:val="21"/>
                      <w:szCs w:val="21"/>
                      <w:u w:val="none"/>
                    </w:rPr>
                  </w:pPr>
                </w:p>
              </w:tc>
              <w:tc>
                <w:tcPr>
                  <w:tcW w:w="463" w:type="pct"/>
                  <w:tcBorders>
                    <w:tl2br w:val="nil"/>
                    <w:tr2bl w:val="nil"/>
                  </w:tcBorders>
                  <w:vAlign w:val="center"/>
                </w:tcPr>
                <w:p w14:paraId="0D1B9F1D">
                  <w:pPr>
                    <w:pStyle w:val="24"/>
                    <w:spacing w:line="276" w:lineRule="auto"/>
                    <w:rPr>
                      <w:color w:val="auto"/>
                      <w:kern w:val="0"/>
                      <w:sz w:val="21"/>
                      <w:szCs w:val="21"/>
                      <w:u w:val="none"/>
                    </w:rPr>
                  </w:pPr>
                  <w:r>
                    <w:rPr>
                      <w:color w:val="auto"/>
                      <w:sz w:val="21"/>
                      <w:szCs w:val="21"/>
                      <w:u w:val="none"/>
                    </w:rPr>
                    <w:t>PM</w:t>
                  </w:r>
                  <w:r>
                    <w:rPr>
                      <w:color w:val="auto"/>
                      <w:sz w:val="21"/>
                      <w:szCs w:val="21"/>
                      <w:u w:val="none"/>
                      <w:vertAlign w:val="subscript"/>
                    </w:rPr>
                    <w:t>10</w:t>
                  </w:r>
                </w:p>
              </w:tc>
              <w:tc>
                <w:tcPr>
                  <w:tcW w:w="1690" w:type="pct"/>
                  <w:tcBorders>
                    <w:tl2br w:val="nil"/>
                    <w:tr2bl w:val="nil"/>
                  </w:tcBorders>
                  <w:vAlign w:val="center"/>
                </w:tcPr>
                <w:p w14:paraId="4B0475A2">
                  <w:pPr>
                    <w:pStyle w:val="24"/>
                    <w:spacing w:line="276" w:lineRule="auto"/>
                    <w:rPr>
                      <w:color w:val="auto"/>
                      <w:kern w:val="0"/>
                      <w:sz w:val="21"/>
                      <w:szCs w:val="21"/>
                      <w:u w:val="none"/>
                    </w:rPr>
                  </w:pPr>
                  <w:r>
                    <w:rPr>
                      <w:color w:val="auto"/>
                      <w:sz w:val="21"/>
                      <w:szCs w:val="21"/>
                      <w:u w:val="none"/>
                    </w:rPr>
                    <w:t>年平均</w:t>
                  </w:r>
                </w:p>
              </w:tc>
              <w:tc>
                <w:tcPr>
                  <w:tcW w:w="684" w:type="pct"/>
                  <w:tcBorders>
                    <w:tl2br w:val="nil"/>
                    <w:tr2bl w:val="nil"/>
                  </w:tcBorders>
                  <w:vAlign w:val="center"/>
                </w:tcPr>
                <w:p w14:paraId="35C76601">
                  <w:pPr>
                    <w:snapToGrid w:val="0"/>
                    <w:spacing w:line="276" w:lineRule="auto"/>
                    <w:jc w:val="center"/>
                    <w:rPr>
                      <w:rFonts w:hint="default" w:ascii="Times New Roman" w:hAnsi="Times New Roman" w:eastAsia="宋体" w:cs="Times New Roman"/>
                      <w:color w:val="auto"/>
                      <w:kern w:val="0"/>
                      <w:sz w:val="21"/>
                      <w:szCs w:val="21"/>
                      <w:u w:val="none"/>
                      <w:lang w:val="en-US" w:eastAsia="zh-CN"/>
                    </w:rPr>
                  </w:pPr>
                  <w:r>
                    <w:rPr>
                      <w:rFonts w:hint="eastAsia" w:cs="Times New Roman"/>
                      <w:color w:val="auto"/>
                      <w:kern w:val="0"/>
                      <w:sz w:val="21"/>
                      <w:szCs w:val="21"/>
                      <w:u w:val="none"/>
                      <w:lang w:val="en-US" w:eastAsia="zh-CN"/>
                    </w:rPr>
                    <w:t>50</w:t>
                  </w:r>
                </w:p>
              </w:tc>
              <w:tc>
                <w:tcPr>
                  <w:tcW w:w="645" w:type="pct"/>
                  <w:tcBorders>
                    <w:tl2br w:val="nil"/>
                    <w:tr2bl w:val="nil"/>
                  </w:tcBorders>
                  <w:vAlign w:val="center"/>
                </w:tcPr>
                <w:p w14:paraId="0AA893EB">
                  <w:pPr>
                    <w:spacing w:line="276" w:lineRule="auto"/>
                    <w:jc w:val="center"/>
                    <w:rPr>
                      <w:color w:val="auto"/>
                      <w:kern w:val="0"/>
                      <w:sz w:val="21"/>
                      <w:szCs w:val="21"/>
                      <w:u w:val="none"/>
                    </w:rPr>
                  </w:pPr>
                  <w:r>
                    <w:rPr>
                      <w:rFonts w:hint="eastAsia"/>
                      <w:color w:val="auto"/>
                      <w:sz w:val="21"/>
                      <w:szCs w:val="21"/>
                      <w:u w:val="none"/>
                      <w:lang w:val="en-US" w:eastAsia="zh-CN"/>
                    </w:rPr>
                    <w:t>6</w:t>
                  </w:r>
                  <w:r>
                    <w:rPr>
                      <w:color w:val="auto"/>
                      <w:sz w:val="21"/>
                      <w:szCs w:val="21"/>
                      <w:u w:val="none"/>
                    </w:rPr>
                    <w:t>0</w:t>
                  </w:r>
                </w:p>
              </w:tc>
              <w:tc>
                <w:tcPr>
                  <w:tcW w:w="562" w:type="pct"/>
                  <w:tcBorders>
                    <w:tl2br w:val="nil"/>
                    <w:tr2bl w:val="nil"/>
                  </w:tcBorders>
                  <w:vAlign w:val="center"/>
                </w:tcPr>
                <w:p w14:paraId="36CECB8B">
                  <w:pPr>
                    <w:pStyle w:val="24"/>
                    <w:spacing w:line="276" w:lineRule="auto"/>
                    <w:rPr>
                      <w:rFonts w:hint="default" w:eastAsia="宋体"/>
                      <w:color w:val="auto"/>
                      <w:kern w:val="0"/>
                      <w:sz w:val="21"/>
                      <w:szCs w:val="21"/>
                      <w:u w:val="none"/>
                      <w:lang w:val="en-US" w:eastAsia="zh-CN"/>
                    </w:rPr>
                  </w:pPr>
                  <w:r>
                    <w:rPr>
                      <w:rFonts w:hint="eastAsia"/>
                      <w:color w:val="auto"/>
                      <w:kern w:val="0"/>
                      <w:sz w:val="21"/>
                      <w:szCs w:val="21"/>
                      <w:u w:val="none"/>
                      <w:lang w:val="en-US" w:eastAsia="zh-CN"/>
                    </w:rPr>
                    <w:t>83.3</w:t>
                  </w:r>
                </w:p>
              </w:tc>
              <w:tc>
                <w:tcPr>
                  <w:tcW w:w="565" w:type="pct"/>
                  <w:tcBorders>
                    <w:tl2br w:val="nil"/>
                    <w:tr2bl w:val="nil"/>
                  </w:tcBorders>
                  <w:vAlign w:val="center"/>
                </w:tcPr>
                <w:p w14:paraId="3EF79A18">
                  <w:pPr>
                    <w:pStyle w:val="24"/>
                    <w:spacing w:line="276" w:lineRule="auto"/>
                    <w:rPr>
                      <w:color w:val="auto"/>
                      <w:kern w:val="0"/>
                      <w:sz w:val="21"/>
                      <w:szCs w:val="21"/>
                      <w:u w:val="none"/>
                    </w:rPr>
                  </w:pPr>
                  <w:r>
                    <w:rPr>
                      <w:color w:val="auto"/>
                      <w:sz w:val="21"/>
                      <w:szCs w:val="21"/>
                      <w:u w:val="none"/>
                    </w:rPr>
                    <w:t>达标</w:t>
                  </w:r>
                </w:p>
              </w:tc>
            </w:tr>
            <w:tr w14:paraId="13FDBF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87" w:type="pct"/>
                  <w:vMerge w:val="continue"/>
                  <w:tcBorders>
                    <w:tl2br w:val="nil"/>
                    <w:tr2bl w:val="nil"/>
                  </w:tcBorders>
                  <w:vAlign w:val="center"/>
                </w:tcPr>
                <w:p w14:paraId="2CE39B2B">
                  <w:pPr>
                    <w:pStyle w:val="24"/>
                    <w:spacing w:line="276" w:lineRule="auto"/>
                    <w:rPr>
                      <w:color w:val="auto"/>
                      <w:kern w:val="0"/>
                      <w:sz w:val="21"/>
                      <w:szCs w:val="21"/>
                      <w:u w:val="none"/>
                    </w:rPr>
                  </w:pPr>
                </w:p>
              </w:tc>
              <w:tc>
                <w:tcPr>
                  <w:tcW w:w="463" w:type="pct"/>
                  <w:tcBorders>
                    <w:tl2br w:val="nil"/>
                    <w:tr2bl w:val="nil"/>
                  </w:tcBorders>
                  <w:vAlign w:val="center"/>
                </w:tcPr>
                <w:p w14:paraId="7C42B7D1">
                  <w:pPr>
                    <w:pStyle w:val="24"/>
                    <w:spacing w:line="276" w:lineRule="auto"/>
                    <w:rPr>
                      <w:color w:val="auto"/>
                      <w:kern w:val="0"/>
                      <w:sz w:val="21"/>
                      <w:szCs w:val="21"/>
                      <w:u w:val="none"/>
                    </w:rPr>
                  </w:pPr>
                  <w:r>
                    <w:rPr>
                      <w:color w:val="auto"/>
                      <w:sz w:val="21"/>
                      <w:szCs w:val="21"/>
                      <w:u w:val="none"/>
                    </w:rPr>
                    <w:t>PM</w:t>
                  </w:r>
                  <w:r>
                    <w:rPr>
                      <w:color w:val="auto"/>
                      <w:sz w:val="21"/>
                      <w:szCs w:val="21"/>
                      <w:u w:val="none"/>
                      <w:vertAlign w:val="subscript"/>
                    </w:rPr>
                    <w:t>2.5</w:t>
                  </w:r>
                </w:p>
              </w:tc>
              <w:tc>
                <w:tcPr>
                  <w:tcW w:w="1690" w:type="pct"/>
                  <w:tcBorders>
                    <w:tl2br w:val="nil"/>
                    <w:tr2bl w:val="nil"/>
                  </w:tcBorders>
                  <w:vAlign w:val="center"/>
                </w:tcPr>
                <w:p w14:paraId="3FBC6628">
                  <w:pPr>
                    <w:pStyle w:val="24"/>
                    <w:spacing w:line="276" w:lineRule="auto"/>
                    <w:rPr>
                      <w:color w:val="auto"/>
                      <w:kern w:val="0"/>
                      <w:sz w:val="21"/>
                      <w:szCs w:val="21"/>
                      <w:u w:val="none"/>
                    </w:rPr>
                  </w:pPr>
                  <w:r>
                    <w:rPr>
                      <w:color w:val="auto"/>
                      <w:sz w:val="21"/>
                      <w:szCs w:val="21"/>
                      <w:u w:val="none"/>
                    </w:rPr>
                    <w:t>年平均</w:t>
                  </w:r>
                </w:p>
              </w:tc>
              <w:tc>
                <w:tcPr>
                  <w:tcW w:w="684" w:type="pct"/>
                  <w:tcBorders>
                    <w:tl2br w:val="nil"/>
                    <w:tr2bl w:val="nil"/>
                  </w:tcBorders>
                  <w:vAlign w:val="center"/>
                </w:tcPr>
                <w:p w14:paraId="3637EFB9">
                  <w:pPr>
                    <w:snapToGrid w:val="0"/>
                    <w:spacing w:line="276" w:lineRule="auto"/>
                    <w:jc w:val="center"/>
                    <w:rPr>
                      <w:rFonts w:hint="default" w:ascii="Times New Roman" w:hAnsi="Times New Roman" w:eastAsia="宋体" w:cs="Times New Roman"/>
                      <w:color w:val="auto"/>
                      <w:kern w:val="0"/>
                      <w:sz w:val="21"/>
                      <w:szCs w:val="21"/>
                      <w:u w:val="none"/>
                      <w:lang w:val="en-US" w:eastAsia="zh-CN"/>
                    </w:rPr>
                  </w:pPr>
                  <w:r>
                    <w:rPr>
                      <w:rFonts w:hint="eastAsia" w:ascii="Times New Roman" w:hAnsi="Times New Roman" w:eastAsia="宋体" w:cs="Times New Roman"/>
                      <w:color w:val="auto"/>
                      <w:kern w:val="0"/>
                      <w:sz w:val="21"/>
                      <w:szCs w:val="21"/>
                      <w:u w:val="none"/>
                      <w:lang w:val="en-US" w:eastAsia="zh-CN"/>
                    </w:rPr>
                    <w:t>3</w:t>
                  </w:r>
                  <w:r>
                    <w:rPr>
                      <w:rFonts w:hint="eastAsia" w:cs="Times New Roman"/>
                      <w:color w:val="auto"/>
                      <w:kern w:val="0"/>
                      <w:sz w:val="21"/>
                      <w:szCs w:val="21"/>
                      <w:u w:val="none"/>
                      <w:lang w:val="en-US" w:eastAsia="zh-CN"/>
                    </w:rPr>
                    <w:t>4.9</w:t>
                  </w:r>
                </w:p>
              </w:tc>
              <w:tc>
                <w:tcPr>
                  <w:tcW w:w="645" w:type="pct"/>
                  <w:tcBorders>
                    <w:tl2br w:val="nil"/>
                    <w:tr2bl w:val="nil"/>
                  </w:tcBorders>
                  <w:vAlign w:val="center"/>
                </w:tcPr>
                <w:p w14:paraId="22656E99">
                  <w:pPr>
                    <w:spacing w:line="276" w:lineRule="auto"/>
                    <w:jc w:val="center"/>
                    <w:rPr>
                      <w:rFonts w:hint="eastAsia" w:eastAsia="宋体"/>
                      <w:color w:val="auto"/>
                      <w:kern w:val="0"/>
                      <w:sz w:val="21"/>
                      <w:szCs w:val="21"/>
                      <w:u w:val="none"/>
                      <w:lang w:eastAsia="zh-CN"/>
                    </w:rPr>
                  </w:pPr>
                  <w:r>
                    <w:rPr>
                      <w:color w:val="auto"/>
                      <w:sz w:val="21"/>
                      <w:szCs w:val="21"/>
                      <w:u w:val="none"/>
                    </w:rPr>
                    <w:t>3</w:t>
                  </w:r>
                  <w:r>
                    <w:rPr>
                      <w:rFonts w:hint="eastAsia"/>
                      <w:color w:val="auto"/>
                      <w:sz w:val="21"/>
                      <w:szCs w:val="21"/>
                      <w:u w:val="none"/>
                      <w:lang w:val="en-US" w:eastAsia="zh-CN"/>
                    </w:rPr>
                    <w:t>0</w:t>
                  </w:r>
                </w:p>
              </w:tc>
              <w:tc>
                <w:tcPr>
                  <w:tcW w:w="562" w:type="pct"/>
                  <w:tcBorders>
                    <w:tl2br w:val="nil"/>
                    <w:tr2bl w:val="nil"/>
                  </w:tcBorders>
                  <w:vAlign w:val="center"/>
                </w:tcPr>
                <w:p w14:paraId="1703BE12">
                  <w:pPr>
                    <w:pStyle w:val="24"/>
                    <w:spacing w:line="276" w:lineRule="auto"/>
                    <w:rPr>
                      <w:rFonts w:hint="default" w:eastAsia="宋体"/>
                      <w:color w:val="auto"/>
                      <w:kern w:val="0"/>
                      <w:sz w:val="21"/>
                      <w:szCs w:val="21"/>
                      <w:u w:val="none"/>
                      <w:lang w:val="en-US" w:eastAsia="zh-CN"/>
                    </w:rPr>
                  </w:pPr>
                  <w:r>
                    <w:rPr>
                      <w:rFonts w:hint="eastAsia"/>
                      <w:color w:val="auto"/>
                      <w:kern w:val="0"/>
                      <w:sz w:val="21"/>
                      <w:szCs w:val="21"/>
                      <w:u w:val="none"/>
                      <w:lang w:val="en-US" w:eastAsia="zh-CN"/>
                    </w:rPr>
                    <w:t>116.3</w:t>
                  </w:r>
                </w:p>
              </w:tc>
              <w:tc>
                <w:tcPr>
                  <w:tcW w:w="565" w:type="pct"/>
                  <w:tcBorders>
                    <w:tl2br w:val="nil"/>
                    <w:tr2bl w:val="nil"/>
                  </w:tcBorders>
                  <w:vAlign w:val="center"/>
                </w:tcPr>
                <w:p w14:paraId="4D08510C">
                  <w:pPr>
                    <w:pStyle w:val="24"/>
                    <w:spacing w:line="276" w:lineRule="auto"/>
                    <w:rPr>
                      <w:color w:val="auto"/>
                      <w:kern w:val="0"/>
                      <w:sz w:val="21"/>
                      <w:szCs w:val="21"/>
                      <w:u w:val="none"/>
                    </w:rPr>
                  </w:pPr>
                  <w:r>
                    <w:rPr>
                      <w:rFonts w:hint="eastAsia"/>
                      <w:color w:val="auto"/>
                      <w:sz w:val="21"/>
                      <w:szCs w:val="21"/>
                      <w:u w:val="none"/>
                      <w:lang w:eastAsia="zh-CN"/>
                    </w:rPr>
                    <w:t>超标</w:t>
                  </w:r>
                </w:p>
              </w:tc>
            </w:tr>
            <w:tr w14:paraId="4B390E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87" w:type="pct"/>
                  <w:vMerge w:val="continue"/>
                  <w:tcBorders>
                    <w:tl2br w:val="nil"/>
                    <w:tr2bl w:val="nil"/>
                  </w:tcBorders>
                  <w:vAlign w:val="center"/>
                </w:tcPr>
                <w:p w14:paraId="62C23D02">
                  <w:pPr>
                    <w:pStyle w:val="24"/>
                    <w:spacing w:line="276" w:lineRule="auto"/>
                    <w:rPr>
                      <w:color w:val="auto"/>
                      <w:kern w:val="0"/>
                      <w:sz w:val="21"/>
                      <w:szCs w:val="21"/>
                      <w:u w:val="none"/>
                    </w:rPr>
                  </w:pPr>
                </w:p>
              </w:tc>
              <w:tc>
                <w:tcPr>
                  <w:tcW w:w="463" w:type="pct"/>
                  <w:tcBorders>
                    <w:tl2br w:val="nil"/>
                    <w:tr2bl w:val="nil"/>
                  </w:tcBorders>
                  <w:vAlign w:val="center"/>
                </w:tcPr>
                <w:p w14:paraId="51633100">
                  <w:pPr>
                    <w:pStyle w:val="24"/>
                    <w:spacing w:line="276" w:lineRule="auto"/>
                    <w:rPr>
                      <w:color w:val="auto"/>
                      <w:kern w:val="0"/>
                      <w:sz w:val="21"/>
                      <w:szCs w:val="21"/>
                      <w:u w:val="none"/>
                    </w:rPr>
                  </w:pPr>
                  <w:r>
                    <w:rPr>
                      <w:color w:val="auto"/>
                      <w:sz w:val="21"/>
                      <w:szCs w:val="21"/>
                      <w:u w:val="none"/>
                    </w:rPr>
                    <w:t>CO</w:t>
                  </w:r>
                </w:p>
              </w:tc>
              <w:tc>
                <w:tcPr>
                  <w:tcW w:w="1690" w:type="pct"/>
                  <w:tcBorders>
                    <w:tl2br w:val="nil"/>
                    <w:tr2bl w:val="nil"/>
                  </w:tcBorders>
                  <w:vAlign w:val="center"/>
                </w:tcPr>
                <w:p w14:paraId="48ABA621">
                  <w:pPr>
                    <w:pStyle w:val="24"/>
                    <w:spacing w:line="276" w:lineRule="auto"/>
                    <w:rPr>
                      <w:color w:val="auto"/>
                      <w:kern w:val="0"/>
                      <w:sz w:val="21"/>
                      <w:szCs w:val="21"/>
                      <w:u w:val="none"/>
                    </w:rPr>
                  </w:pPr>
                  <w:r>
                    <w:rPr>
                      <w:color w:val="auto"/>
                      <w:sz w:val="21"/>
                      <w:szCs w:val="21"/>
                      <w:u w:val="none"/>
                    </w:rPr>
                    <w:t>95百分位数日平均</w:t>
                  </w:r>
                </w:p>
              </w:tc>
              <w:tc>
                <w:tcPr>
                  <w:tcW w:w="684" w:type="pct"/>
                  <w:tcBorders>
                    <w:tl2br w:val="nil"/>
                    <w:tr2bl w:val="nil"/>
                  </w:tcBorders>
                  <w:vAlign w:val="center"/>
                </w:tcPr>
                <w:p w14:paraId="04541995">
                  <w:pPr>
                    <w:snapToGrid w:val="0"/>
                    <w:spacing w:line="276" w:lineRule="auto"/>
                    <w:jc w:val="center"/>
                    <w:rPr>
                      <w:rFonts w:hint="default" w:ascii="Times New Roman" w:hAnsi="Times New Roman" w:eastAsia="宋体" w:cs="Times New Roman"/>
                      <w:color w:val="auto"/>
                      <w:kern w:val="0"/>
                      <w:sz w:val="21"/>
                      <w:szCs w:val="21"/>
                      <w:u w:val="none"/>
                      <w:lang w:val="en-US" w:eastAsia="zh-CN"/>
                    </w:rPr>
                  </w:pPr>
                  <w:r>
                    <w:rPr>
                      <w:rFonts w:hint="eastAsia" w:ascii="Times New Roman" w:hAnsi="Times New Roman" w:eastAsia="宋体" w:cs="Times New Roman"/>
                      <w:color w:val="auto"/>
                      <w:kern w:val="0"/>
                      <w:sz w:val="21"/>
                      <w:szCs w:val="21"/>
                      <w:u w:val="none"/>
                      <w:lang w:val="en-US" w:eastAsia="zh-CN"/>
                    </w:rPr>
                    <w:t>1</w:t>
                  </w:r>
                  <w:r>
                    <w:rPr>
                      <w:rFonts w:hint="eastAsia" w:cs="Times New Roman"/>
                      <w:color w:val="auto"/>
                      <w:kern w:val="0"/>
                      <w:sz w:val="21"/>
                      <w:szCs w:val="21"/>
                      <w:u w:val="none"/>
                      <w:lang w:val="en-US" w:eastAsia="zh-CN"/>
                    </w:rPr>
                    <w:t>0</w:t>
                  </w:r>
                  <w:r>
                    <w:rPr>
                      <w:rFonts w:hint="eastAsia" w:ascii="Times New Roman" w:hAnsi="Times New Roman" w:eastAsia="宋体" w:cs="Times New Roman"/>
                      <w:color w:val="auto"/>
                      <w:kern w:val="0"/>
                      <w:sz w:val="21"/>
                      <w:szCs w:val="21"/>
                      <w:u w:val="none"/>
                      <w:lang w:val="en-US" w:eastAsia="zh-CN"/>
                    </w:rPr>
                    <w:t>00</w:t>
                  </w:r>
                </w:p>
              </w:tc>
              <w:tc>
                <w:tcPr>
                  <w:tcW w:w="645" w:type="pct"/>
                  <w:tcBorders>
                    <w:tl2br w:val="nil"/>
                    <w:tr2bl w:val="nil"/>
                  </w:tcBorders>
                  <w:vAlign w:val="center"/>
                </w:tcPr>
                <w:p w14:paraId="2E58EF44">
                  <w:pPr>
                    <w:spacing w:line="276" w:lineRule="auto"/>
                    <w:jc w:val="center"/>
                    <w:rPr>
                      <w:color w:val="auto"/>
                      <w:kern w:val="0"/>
                      <w:sz w:val="21"/>
                      <w:szCs w:val="21"/>
                      <w:u w:val="none"/>
                    </w:rPr>
                  </w:pPr>
                  <w:r>
                    <w:rPr>
                      <w:color w:val="auto"/>
                      <w:sz w:val="21"/>
                      <w:szCs w:val="21"/>
                      <w:u w:val="none"/>
                    </w:rPr>
                    <w:t>4000</w:t>
                  </w:r>
                </w:p>
              </w:tc>
              <w:tc>
                <w:tcPr>
                  <w:tcW w:w="562" w:type="pct"/>
                  <w:tcBorders>
                    <w:tl2br w:val="nil"/>
                    <w:tr2bl w:val="nil"/>
                  </w:tcBorders>
                  <w:vAlign w:val="center"/>
                </w:tcPr>
                <w:p w14:paraId="6A33DA2F">
                  <w:pPr>
                    <w:pStyle w:val="24"/>
                    <w:spacing w:line="276" w:lineRule="auto"/>
                    <w:rPr>
                      <w:rFonts w:hint="default" w:eastAsia="宋体"/>
                      <w:color w:val="auto"/>
                      <w:kern w:val="0"/>
                      <w:sz w:val="21"/>
                      <w:szCs w:val="21"/>
                      <w:u w:val="none"/>
                      <w:lang w:val="en-US" w:eastAsia="zh-CN"/>
                    </w:rPr>
                  </w:pPr>
                  <w:r>
                    <w:rPr>
                      <w:rFonts w:hint="eastAsia"/>
                      <w:color w:val="auto"/>
                      <w:kern w:val="0"/>
                      <w:sz w:val="21"/>
                      <w:szCs w:val="21"/>
                      <w:u w:val="none"/>
                      <w:lang w:val="en-US" w:eastAsia="zh-CN"/>
                    </w:rPr>
                    <w:t>25.0</w:t>
                  </w:r>
                </w:p>
              </w:tc>
              <w:tc>
                <w:tcPr>
                  <w:tcW w:w="565" w:type="pct"/>
                  <w:tcBorders>
                    <w:tl2br w:val="nil"/>
                    <w:tr2bl w:val="nil"/>
                  </w:tcBorders>
                  <w:vAlign w:val="center"/>
                </w:tcPr>
                <w:p w14:paraId="5E567FC8">
                  <w:pPr>
                    <w:pStyle w:val="24"/>
                    <w:spacing w:line="276" w:lineRule="auto"/>
                    <w:rPr>
                      <w:color w:val="auto"/>
                      <w:kern w:val="0"/>
                      <w:sz w:val="21"/>
                      <w:szCs w:val="21"/>
                      <w:u w:val="none"/>
                    </w:rPr>
                  </w:pPr>
                  <w:r>
                    <w:rPr>
                      <w:color w:val="auto"/>
                      <w:sz w:val="21"/>
                      <w:szCs w:val="21"/>
                      <w:u w:val="none"/>
                    </w:rPr>
                    <w:t>达标</w:t>
                  </w:r>
                </w:p>
              </w:tc>
            </w:tr>
            <w:tr w14:paraId="35C539E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87" w:type="pct"/>
                  <w:vMerge w:val="continue"/>
                  <w:tcBorders>
                    <w:tl2br w:val="nil"/>
                    <w:tr2bl w:val="nil"/>
                  </w:tcBorders>
                  <w:vAlign w:val="center"/>
                </w:tcPr>
                <w:p w14:paraId="0721C44D">
                  <w:pPr>
                    <w:pStyle w:val="24"/>
                    <w:spacing w:line="276" w:lineRule="auto"/>
                    <w:rPr>
                      <w:color w:val="auto"/>
                      <w:kern w:val="0"/>
                      <w:sz w:val="21"/>
                      <w:szCs w:val="21"/>
                      <w:u w:val="none"/>
                    </w:rPr>
                  </w:pPr>
                </w:p>
              </w:tc>
              <w:tc>
                <w:tcPr>
                  <w:tcW w:w="463" w:type="pct"/>
                  <w:tcBorders>
                    <w:tl2br w:val="nil"/>
                    <w:tr2bl w:val="nil"/>
                  </w:tcBorders>
                  <w:vAlign w:val="center"/>
                </w:tcPr>
                <w:p w14:paraId="195137D4">
                  <w:pPr>
                    <w:pStyle w:val="24"/>
                    <w:spacing w:line="276" w:lineRule="auto"/>
                    <w:rPr>
                      <w:color w:val="auto"/>
                      <w:kern w:val="0"/>
                      <w:sz w:val="21"/>
                      <w:szCs w:val="21"/>
                      <w:u w:val="none"/>
                    </w:rPr>
                  </w:pPr>
                  <w:r>
                    <w:rPr>
                      <w:color w:val="auto"/>
                      <w:sz w:val="21"/>
                      <w:szCs w:val="21"/>
                      <w:u w:val="none"/>
                    </w:rPr>
                    <w:t>O</w:t>
                  </w:r>
                  <w:r>
                    <w:rPr>
                      <w:color w:val="auto"/>
                      <w:sz w:val="21"/>
                      <w:szCs w:val="21"/>
                      <w:u w:val="none"/>
                      <w:vertAlign w:val="subscript"/>
                    </w:rPr>
                    <w:t>3</w:t>
                  </w:r>
                </w:p>
              </w:tc>
              <w:tc>
                <w:tcPr>
                  <w:tcW w:w="1690" w:type="pct"/>
                  <w:tcBorders>
                    <w:tl2br w:val="nil"/>
                    <w:tr2bl w:val="nil"/>
                  </w:tcBorders>
                  <w:vAlign w:val="center"/>
                </w:tcPr>
                <w:p w14:paraId="726B79C6">
                  <w:pPr>
                    <w:pStyle w:val="24"/>
                    <w:spacing w:line="276" w:lineRule="auto"/>
                    <w:rPr>
                      <w:color w:val="auto"/>
                      <w:kern w:val="0"/>
                      <w:sz w:val="21"/>
                      <w:szCs w:val="21"/>
                      <w:u w:val="none"/>
                    </w:rPr>
                  </w:pPr>
                  <w:r>
                    <w:rPr>
                      <w:color w:val="auto"/>
                      <w:sz w:val="21"/>
                      <w:szCs w:val="21"/>
                      <w:u w:val="none"/>
                    </w:rPr>
                    <w:t>90百分位数最大8小时平均</w:t>
                  </w:r>
                </w:p>
              </w:tc>
              <w:tc>
                <w:tcPr>
                  <w:tcW w:w="684" w:type="pct"/>
                  <w:tcBorders>
                    <w:tl2br w:val="nil"/>
                    <w:tr2bl w:val="nil"/>
                  </w:tcBorders>
                  <w:vAlign w:val="center"/>
                </w:tcPr>
                <w:p w14:paraId="796E6D5B">
                  <w:pPr>
                    <w:snapToGrid w:val="0"/>
                    <w:spacing w:line="276" w:lineRule="auto"/>
                    <w:jc w:val="center"/>
                    <w:rPr>
                      <w:rFonts w:hint="default" w:ascii="Times New Roman" w:hAnsi="Times New Roman" w:eastAsia="宋体" w:cs="Times New Roman"/>
                      <w:color w:val="auto"/>
                      <w:kern w:val="0"/>
                      <w:sz w:val="21"/>
                      <w:szCs w:val="21"/>
                      <w:u w:val="none"/>
                      <w:lang w:val="en-US" w:eastAsia="zh-CN"/>
                    </w:rPr>
                  </w:pPr>
                  <w:r>
                    <w:rPr>
                      <w:rFonts w:hint="eastAsia" w:ascii="Times New Roman" w:hAnsi="Times New Roman" w:eastAsia="宋体" w:cs="Times New Roman"/>
                      <w:color w:val="auto"/>
                      <w:kern w:val="0"/>
                      <w:sz w:val="21"/>
                      <w:szCs w:val="21"/>
                      <w:u w:val="none"/>
                      <w:lang w:val="en-US" w:eastAsia="zh-CN"/>
                    </w:rPr>
                    <w:t>14</w:t>
                  </w:r>
                  <w:r>
                    <w:rPr>
                      <w:rFonts w:hint="eastAsia" w:cs="Times New Roman"/>
                      <w:color w:val="auto"/>
                      <w:kern w:val="0"/>
                      <w:sz w:val="21"/>
                      <w:szCs w:val="21"/>
                      <w:u w:val="none"/>
                      <w:lang w:val="en-US" w:eastAsia="zh-CN"/>
                    </w:rPr>
                    <w:t>1</w:t>
                  </w:r>
                </w:p>
              </w:tc>
              <w:tc>
                <w:tcPr>
                  <w:tcW w:w="645" w:type="pct"/>
                  <w:tcBorders>
                    <w:tl2br w:val="nil"/>
                    <w:tr2bl w:val="nil"/>
                  </w:tcBorders>
                  <w:vAlign w:val="center"/>
                </w:tcPr>
                <w:p w14:paraId="15261CCD">
                  <w:pPr>
                    <w:spacing w:line="276" w:lineRule="auto"/>
                    <w:jc w:val="center"/>
                    <w:rPr>
                      <w:color w:val="auto"/>
                      <w:kern w:val="0"/>
                      <w:sz w:val="21"/>
                      <w:szCs w:val="21"/>
                      <w:u w:val="none"/>
                    </w:rPr>
                  </w:pPr>
                  <w:r>
                    <w:rPr>
                      <w:color w:val="auto"/>
                      <w:sz w:val="21"/>
                      <w:szCs w:val="21"/>
                      <w:u w:val="none"/>
                    </w:rPr>
                    <w:t>160</w:t>
                  </w:r>
                </w:p>
              </w:tc>
              <w:tc>
                <w:tcPr>
                  <w:tcW w:w="562" w:type="pct"/>
                  <w:tcBorders>
                    <w:tl2br w:val="nil"/>
                    <w:tr2bl w:val="nil"/>
                  </w:tcBorders>
                  <w:vAlign w:val="center"/>
                </w:tcPr>
                <w:p w14:paraId="0B5777A1">
                  <w:pPr>
                    <w:pStyle w:val="24"/>
                    <w:spacing w:line="276" w:lineRule="auto"/>
                    <w:rPr>
                      <w:rFonts w:hint="default" w:eastAsia="宋体"/>
                      <w:color w:val="auto"/>
                      <w:kern w:val="0"/>
                      <w:sz w:val="21"/>
                      <w:szCs w:val="21"/>
                      <w:u w:val="none"/>
                      <w:lang w:val="en-US" w:eastAsia="zh-CN"/>
                    </w:rPr>
                  </w:pPr>
                  <w:r>
                    <w:rPr>
                      <w:rFonts w:hint="eastAsia"/>
                      <w:color w:val="auto"/>
                      <w:kern w:val="0"/>
                      <w:sz w:val="21"/>
                      <w:szCs w:val="21"/>
                      <w:u w:val="none"/>
                      <w:lang w:val="en-US" w:eastAsia="zh-CN"/>
                    </w:rPr>
                    <w:t>88.1</w:t>
                  </w:r>
                </w:p>
              </w:tc>
              <w:tc>
                <w:tcPr>
                  <w:tcW w:w="565" w:type="pct"/>
                  <w:tcBorders>
                    <w:tl2br w:val="nil"/>
                    <w:tr2bl w:val="nil"/>
                  </w:tcBorders>
                  <w:vAlign w:val="center"/>
                </w:tcPr>
                <w:p w14:paraId="3E6B5E8A">
                  <w:pPr>
                    <w:pStyle w:val="24"/>
                    <w:spacing w:line="276" w:lineRule="auto"/>
                    <w:rPr>
                      <w:color w:val="auto"/>
                      <w:kern w:val="0"/>
                      <w:sz w:val="21"/>
                      <w:szCs w:val="21"/>
                      <w:u w:val="none"/>
                    </w:rPr>
                  </w:pPr>
                  <w:r>
                    <w:rPr>
                      <w:color w:val="auto"/>
                      <w:sz w:val="21"/>
                      <w:szCs w:val="21"/>
                      <w:u w:val="none"/>
                    </w:rPr>
                    <w:t>达标</w:t>
                  </w:r>
                </w:p>
              </w:tc>
            </w:tr>
          </w:tbl>
          <w:p w14:paraId="06FAD39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default" w:ascii="宋体" w:hAnsi="宋体" w:eastAsia="宋体" w:cs="宋体"/>
                <w:b w:val="0"/>
                <w:bCs w:val="0"/>
                <w:color w:val="auto"/>
                <w:sz w:val="24"/>
                <w:szCs w:val="24"/>
                <w:lang w:val="en-US" w:eastAsia="zh-CN"/>
              </w:rPr>
              <w:t>根据《环境影响评价技术导则 大气环境》（HJ2.2-2018）的要求，环境空气质量</w:t>
            </w:r>
            <w:r>
              <w:rPr>
                <w:rFonts w:hint="eastAsia" w:ascii="宋体" w:hAnsi="宋体" w:cs="宋体"/>
                <w:b w:val="0"/>
                <w:bCs w:val="0"/>
                <w:color w:val="auto"/>
                <w:sz w:val="24"/>
                <w:szCs w:val="24"/>
                <w:lang w:val="en-US" w:eastAsia="zh-CN"/>
              </w:rPr>
              <w:t>各指标中除PM</w:t>
            </w:r>
            <w:r>
              <w:rPr>
                <w:rFonts w:hint="eastAsia" w:ascii="宋体" w:hAnsi="宋体" w:cs="宋体"/>
                <w:b w:val="0"/>
                <w:bCs w:val="0"/>
                <w:color w:val="auto"/>
                <w:sz w:val="24"/>
                <w:szCs w:val="24"/>
                <w:vertAlign w:val="subscript"/>
                <w:lang w:val="en-US" w:eastAsia="zh-CN"/>
              </w:rPr>
              <w:t>2.5</w:t>
            </w:r>
            <w:r>
              <w:rPr>
                <w:rFonts w:hint="eastAsia" w:ascii="宋体" w:hAnsi="宋体" w:cs="宋体"/>
                <w:b w:val="0"/>
                <w:bCs w:val="0"/>
                <w:color w:val="auto"/>
                <w:sz w:val="24"/>
                <w:szCs w:val="24"/>
                <w:lang w:val="en-US" w:eastAsia="zh-CN"/>
              </w:rPr>
              <w:t>外，其余均符合《环境空气质量标准》（GB3095-2026）过渡期标准。</w:t>
            </w:r>
          </w:p>
          <w:p w14:paraId="3A633D4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因此，项目所在区域环境空气属于不达标区。本项目为生态影响类，</w:t>
            </w:r>
            <w:r>
              <w:rPr>
                <w:rFonts w:hint="eastAsia" w:cs="Times New Roman"/>
                <w:color w:val="auto"/>
                <w:u w:val="none"/>
                <w:lang w:val="en-US" w:eastAsia="zh-CN"/>
              </w:rPr>
              <w:t>不排放PM</w:t>
            </w:r>
            <w:r>
              <w:rPr>
                <w:rFonts w:hint="eastAsia" w:cs="Times New Roman"/>
                <w:color w:val="auto"/>
                <w:u w:val="none"/>
                <w:vertAlign w:val="subscript"/>
                <w:lang w:val="en-US" w:eastAsia="zh-CN"/>
              </w:rPr>
              <w:t>2.5</w:t>
            </w:r>
            <w:r>
              <w:rPr>
                <w:rFonts w:hint="eastAsia" w:ascii="宋体" w:hAnsi="宋体" w:cs="宋体"/>
                <w:b w:val="0"/>
                <w:bCs w:val="0"/>
                <w:color w:val="auto"/>
                <w:sz w:val="24"/>
                <w:szCs w:val="24"/>
                <w:lang w:val="en-US" w:eastAsia="zh-CN"/>
              </w:rPr>
              <w:t>，因此区域为不达标区对本项目无制约限制。</w:t>
            </w:r>
          </w:p>
          <w:p w14:paraId="1D374DF4">
            <w:pPr>
              <w:adjustRightInd w:val="0"/>
              <w:snapToGrid w:val="0"/>
              <w:spacing w:line="360" w:lineRule="auto"/>
              <w:ind w:firstLine="482" w:firstLineChars="200"/>
              <w:rPr>
                <w:rFonts w:hint="default" w:ascii="Times New Roman" w:hAnsi="Times New Roman" w:eastAsia="宋体" w:cs="Times New Roman"/>
                <w:color w:val="auto"/>
                <w:kern w:val="0"/>
                <w:sz w:val="24"/>
                <w:szCs w:val="24"/>
                <w:lang w:val="en-US" w:eastAsia="zh-CN" w:bidi="ar"/>
              </w:rPr>
            </w:pPr>
            <w:r>
              <w:rPr>
                <w:rFonts w:hint="default" w:ascii="Times New Roman" w:hAnsi="Times New Roman" w:eastAsia="宋体" w:cs="Times New Roman"/>
                <w:b/>
                <w:color w:val="auto"/>
                <w:sz w:val="24"/>
              </w:rPr>
              <w:t>2、地表水环境质量</w:t>
            </w:r>
          </w:p>
          <w:p w14:paraId="1FF8BCB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本项目位于岳阳市岳阳楼区，项目附近主要水体为大桥河（王家桥河）、芭蕉湖、南湖。根据《岳阳市2024年度生态环境状况公报》，2024年度岳阳市地表水水质总体为良，水环境质量整体状况稳定，局部水域水质有所改善，Ⅰ至Ⅲ类水质比例为84.0%，Ⅳ类水质比例为16.0%，无Ⅴ类及以上水质。2025年，全市环境质量持续改善，东洞庭湖总磷平均浓度等8项主要指标均达到预期目标。</w:t>
            </w:r>
          </w:p>
          <w:p w14:paraId="30C75B8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各主要水体水质现状如下：</w:t>
            </w:r>
          </w:p>
          <w:p w14:paraId="112FD92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（1）南湖：根据岳阳市生态环境局南湖新区分局2025年12月发布的整改销号公示，从2025年1-11月，南湖断面总体保持地表水Ⅲ类标准，达到考核目标。</w:t>
            </w:r>
          </w:p>
          <w:p w14:paraId="0C65A4D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2）芭蕉湖：芭蕉湖位于岳阳市城陵矶东侧，属洞庭湖水系的内湖、长江直入水系，水域面积约10平方公里。近年来通过开展水环境综合整治，芭蕉湖水质已稳定达到地表水Ⅲ类标准。2019年实施的芭蕉湖-南湖连通工程，通过开挖河道与隧洞构建了长江-芭蕉湖-王家河-南湖-洞庭湖环城水系，显著提升了水体自循环能力。</w:t>
            </w:r>
          </w:p>
          <w:p w14:paraId="59C3723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（3）大桥河（王家桥河）：大桥河通过王家河与南湖水系相连。近年来岳阳市深入推进南湖流域王家河、北港河、南港河三条主要城市河流的水环境治理工作，河流水质明显改善。</w:t>
            </w:r>
          </w:p>
          <w:p w14:paraId="782D21A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宋体" w:hAnsi="宋体" w:eastAsia="宋体" w:cs="宋体"/>
                <w:b w:val="0"/>
                <w:bCs w:val="0"/>
                <w:color w:val="auto"/>
                <w:sz w:val="24"/>
                <w:szCs w:val="24"/>
                <w:lang w:val="en-US" w:eastAsia="zh-CN"/>
              </w:rPr>
            </w:pPr>
            <w:r>
              <w:rPr>
                <w:rFonts w:hint="eastAsia" w:ascii="宋体" w:hAnsi="宋体" w:cs="宋体"/>
                <w:b w:val="0"/>
                <w:bCs w:val="0"/>
                <w:color w:val="auto"/>
                <w:sz w:val="24"/>
                <w:szCs w:val="24"/>
                <w:lang w:val="en-US" w:eastAsia="zh-CN"/>
              </w:rPr>
              <w:t>淤泥监测</w:t>
            </w:r>
          </w:p>
          <w:p w14:paraId="49E3D2F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宋体" w:hAnsi="宋体" w:eastAsia="宋体" w:cs="宋体"/>
                <w:b w:val="0"/>
                <w:bCs w:val="0"/>
                <w:color w:val="auto"/>
                <w:sz w:val="24"/>
                <w:szCs w:val="24"/>
                <w:lang w:val="en-US" w:eastAsia="zh-CN"/>
              </w:rPr>
            </w:pPr>
            <w:r>
              <w:rPr>
                <w:rFonts w:hint="eastAsia" w:ascii="宋体" w:hAnsi="宋体" w:cs="宋体"/>
                <w:b w:val="0"/>
                <w:bCs w:val="0"/>
                <w:color w:val="auto"/>
                <w:sz w:val="24"/>
                <w:szCs w:val="24"/>
                <w:lang w:val="en-US" w:eastAsia="zh-CN"/>
              </w:rPr>
              <w:t>长沙瑾瑶环保科技有限公司于2025年11月25日对项目工程范围部分雨水排水管底泥进行监测，其结果如下：</w:t>
            </w:r>
          </w:p>
          <w:p w14:paraId="116A950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宋体" w:hAnsi="宋体" w:eastAsia="宋体" w:cs="宋体"/>
                <w:b w:val="0"/>
                <w:bCs w:val="0"/>
                <w:color w:val="auto"/>
                <w:sz w:val="24"/>
                <w:szCs w:val="24"/>
                <w:lang w:val="en-US" w:eastAsia="zh-CN"/>
              </w:rPr>
            </w:pPr>
            <w:r>
              <w:rPr>
                <w:rFonts w:hint="eastAsia" w:ascii="Times New Roman" w:hAnsi="Times New Roman" w:eastAsia="宋体" w:cs="Times New Roman"/>
                <w:b/>
                <w:bCs/>
                <w:color w:val="auto"/>
                <w:kern w:val="2"/>
                <w:sz w:val="24"/>
                <w:szCs w:val="24"/>
                <w:highlight w:val="none"/>
                <w:u w:val="none"/>
                <w:lang w:val="en-US" w:eastAsia="zh-CN" w:bidi="ar-SA"/>
              </w:rPr>
              <w:t>表3.</w:t>
            </w:r>
            <w:r>
              <w:rPr>
                <w:rFonts w:hint="eastAsia" w:cs="Times New Roman"/>
                <w:b/>
                <w:bCs/>
                <w:color w:val="auto"/>
                <w:kern w:val="2"/>
                <w:sz w:val="24"/>
                <w:szCs w:val="24"/>
                <w:highlight w:val="none"/>
                <w:u w:val="none"/>
                <w:lang w:val="en-US" w:eastAsia="zh-CN" w:bidi="ar-SA"/>
              </w:rPr>
              <w:t>11</w:t>
            </w:r>
            <w:r>
              <w:rPr>
                <w:rFonts w:hint="eastAsia" w:ascii="Times New Roman" w:hAnsi="Times New Roman" w:eastAsia="宋体" w:cs="Times New Roman"/>
                <w:b/>
                <w:bCs/>
                <w:color w:val="auto"/>
                <w:kern w:val="2"/>
                <w:sz w:val="24"/>
                <w:szCs w:val="24"/>
                <w:highlight w:val="none"/>
                <w:u w:val="none"/>
                <w:lang w:val="en-US" w:eastAsia="zh-CN" w:bidi="ar-SA"/>
              </w:rPr>
              <w:t xml:space="preserve">  </w:t>
            </w:r>
            <w:r>
              <w:rPr>
                <w:rFonts w:hint="eastAsia" w:cs="Times New Roman"/>
                <w:b/>
                <w:bCs/>
                <w:color w:val="auto"/>
                <w:kern w:val="2"/>
                <w:sz w:val="24"/>
                <w:szCs w:val="24"/>
                <w:highlight w:val="none"/>
                <w:u w:val="none"/>
                <w:lang w:val="en-US" w:eastAsia="zh-CN" w:bidi="ar-SA"/>
              </w:rPr>
              <w:t>排水管</w:t>
            </w:r>
            <w:r>
              <w:rPr>
                <w:rFonts w:hint="eastAsia" w:ascii="Times New Roman" w:hAnsi="Times New Roman" w:eastAsia="宋体" w:cs="Times New Roman"/>
                <w:b/>
                <w:bCs/>
                <w:color w:val="auto"/>
                <w:kern w:val="2"/>
                <w:sz w:val="24"/>
                <w:szCs w:val="24"/>
                <w:highlight w:val="none"/>
                <w:u w:val="none"/>
                <w:lang w:val="en-US" w:eastAsia="zh-CN" w:bidi="ar-SA"/>
              </w:rPr>
              <w:t>底泥状况一览表</w:t>
            </w:r>
          </w:p>
          <w:tbl>
            <w:tblPr>
              <w:tblStyle w:val="9"/>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386"/>
              <w:gridCol w:w="645"/>
              <w:gridCol w:w="1485"/>
              <w:gridCol w:w="1485"/>
              <w:gridCol w:w="1485"/>
              <w:gridCol w:w="1487"/>
              <w:gridCol w:w="1256"/>
            </w:tblGrid>
            <w:tr w14:paraId="57242A5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tblHeader/>
                <w:jc w:val="center"/>
              </w:trPr>
              <w:tc>
                <w:tcPr>
                  <w:tcW w:w="386" w:type="dxa"/>
                  <w:vMerge w:val="restart"/>
                  <w:vAlign w:val="center"/>
                </w:tcPr>
                <w:p w14:paraId="307624CA">
                  <w:pPr>
                    <w:widowControl/>
                    <w:spacing w:line="360" w:lineRule="exact"/>
                    <w:jc w:val="center"/>
                    <w:rPr>
                      <w:rFonts w:hint="default" w:eastAsia="宋体"/>
                      <w:b/>
                      <w:bCs/>
                      <w:color w:val="auto"/>
                      <w:szCs w:val="21"/>
                      <w:lang w:val="en-US" w:eastAsia="zh-CN"/>
                    </w:rPr>
                  </w:pPr>
                  <w:r>
                    <w:rPr>
                      <w:rFonts w:hint="eastAsia"/>
                      <w:b/>
                      <w:bCs/>
                      <w:color w:val="auto"/>
                      <w:szCs w:val="21"/>
                      <w:lang w:val="en-US" w:eastAsia="zh-CN"/>
                    </w:rPr>
                    <w:t>编号</w:t>
                  </w:r>
                </w:p>
              </w:tc>
              <w:tc>
                <w:tcPr>
                  <w:tcW w:w="645" w:type="dxa"/>
                  <w:vMerge w:val="restart"/>
                  <w:vAlign w:val="center"/>
                </w:tcPr>
                <w:p w14:paraId="7342CC98">
                  <w:pPr>
                    <w:widowControl/>
                    <w:spacing w:line="360" w:lineRule="exact"/>
                    <w:jc w:val="center"/>
                    <w:textAlignment w:val="center"/>
                    <w:rPr>
                      <w:rFonts w:hint="default" w:eastAsia="宋体"/>
                      <w:b/>
                      <w:bCs/>
                      <w:color w:val="auto"/>
                      <w:szCs w:val="21"/>
                      <w:lang w:val="en-US" w:eastAsia="zh-CN"/>
                    </w:rPr>
                  </w:pPr>
                  <w:r>
                    <w:rPr>
                      <w:rFonts w:hint="eastAsia"/>
                      <w:b/>
                      <w:bCs/>
                      <w:color w:val="auto"/>
                      <w:szCs w:val="21"/>
                      <w:lang w:val="en-US" w:eastAsia="zh-CN"/>
                    </w:rPr>
                    <w:t>监测因子</w:t>
                  </w:r>
                </w:p>
              </w:tc>
              <w:tc>
                <w:tcPr>
                  <w:tcW w:w="5942" w:type="dxa"/>
                  <w:gridSpan w:val="4"/>
                  <w:vAlign w:val="center"/>
                </w:tcPr>
                <w:p w14:paraId="35AC24E6">
                  <w:pPr>
                    <w:jc w:val="center"/>
                    <w:rPr>
                      <w:rFonts w:hint="eastAsia" w:ascii="宋体" w:hAnsi="宋体" w:cs="Times New Roman"/>
                      <w:color w:val="auto"/>
                      <w:sz w:val="24"/>
                      <w:szCs w:val="21"/>
                      <w:lang w:val="en-US" w:eastAsia="zh-CN" w:bidi="ar-SA"/>
                    </w:rPr>
                  </w:pPr>
                  <w:r>
                    <w:rPr>
                      <w:rFonts w:hint="eastAsia" w:ascii="宋体" w:hAnsi="宋体" w:cs="Times New Roman"/>
                      <w:color w:val="auto"/>
                      <w:sz w:val="24"/>
                      <w:szCs w:val="21"/>
                      <w:lang w:val="en-US" w:eastAsia="zh-CN" w:bidi="ar-SA"/>
                    </w:rPr>
                    <w:t>检测结果</w:t>
                  </w:r>
                </w:p>
              </w:tc>
              <w:tc>
                <w:tcPr>
                  <w:tcW w:w="1256" w:type="dxa"/>
                  <w:vMerge w:val="restart"/>
                  <w:vAlign w:val="center"/>
                </w:tcPr>
                <w:p w14:paraId="1631D86C">
                  <w:pPr>
                    <w:jc w:val="center"/>
                    <w:rPr>
                      <w:rFonts w:hint="eastAsia" w:ascii="宋体" w:hAnsi="宋体" w:cs="Times New Roman"/>
                      <w:color w:val="auto"/>
                      <w:sz w:val="24"/>
                      <w:szCs w:val="21"/>
                      <w:lang w:val="en-US" w:eastAsia="zh-CN" w:bidi="ar-SA"/>
                    </w:rPr>
                  </w:pPr>
                  <w:r>
                    <w:rPr>
                      <w:rFonts w:hint="eastAsia" w:cs="Times New Roman"/>
                      <w:color w:val="auto"/>
                      <w:sz w:val="21"/>
                      <w:szCs w:val="21"/>
                      <w:lang w:val="en-US" w:eastAsia="zh-CN"/>
                    </w:rPr>
                    <w:t>对应的风险筛选</w:t>
                  </w:r>
                  <w:r>
                    <w:rPr>
                      <w:rFonts w:hint="eastAsia" w:ascii="宋体" w:hAnsi="宋体" w:cs="Times New Roman"/>
                      <w:color w:val="auto"/>
                      <w:sz w:val="24"/>
                      <w:szCs w:val="21"/>
                      <w:lang w:val="en-US" w:eastAsia="zh-CN" w:bidi="ar-SA"/>
                    </w:rPr>
                    <w:t>限值</w:t>
                  </w:r>
                </w:p>
              </w:tc>
            </w:tr>
            <w:tr w14:paraId="793B0C6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tblHeader/>
                <w:jc w:val="center"/>
              </w:trPr>
              <w:tc>
                <w:tcPr>
                  <w:tcW w:w="386" w:type="dxa"/>
                  <w:vMerge w:val="continue"/>
                  <w:vAlign w:val="center"/>
                </w:tcPr>
                <w:p w14:paraId="2BFB8363">
                  <w:pPr>
                    <w:widowControl/>
                    <w:spacing w:line="360" w:lineRule="exact"/>
                    <w:ind w:firstLine="105"/>
                    <w:jc w:val="center"/>
                    <w:rPr>
                      <w:b/>
                      <w:bCs/>
                      <w:color w:val="auto"/>
                      <w:szCs w:val="21"/>
                    </w:rPr>
                  </w:pPr>
                </w:p>
              </w:tc>
              <w:tc>
                <w:tcPr>
                  <w:tcW w:w="645" w:type="dxa"/>
                  <w:vMerge w:val="continue"/>
                  <w:vAlign w:val="center"/>
                </w:tcPr>
                <w:p w14:paraId="3F0760AF">
                  <w:pPr>
                    <w:widowControl/>
                    <w:spacing w:line="360" w:lineRule="exact"/>
                    <w:jc w:val="center"/>
                    <w:rPr>
                      <w:b/>
                      <w:bCs/>
                      <w:color w:val="auto"/>
                      <w:szCs w:val="21"/>
                    </w:rPr>
                  </w:pPr>
                </w:p>
              </w:tc>
              <w:tc>
                <w:tcPr>
                  <w:tcW w:w="1485" w:type="dxa"/>
                  <w:vAlign w:val="center"/>
                </w:tcPr>
                <w:p w14:paraId="03495469">
                  <w:pPr>
                    <w:pStyle w:val="17"/>
                    <w:bidi w:val="0"/>
                    <w:rPr>
                      <w:rFonts w:hint="default"/>
                      <w:color w:val="auto"/>
                      <w:sz w:val="21"/>
                      <w:szCs w:val="21"/>
                      <w:lang w:val="en-US" w:eastAsia="zh-CN"/>
                    </w:rPr>
                  </w:pPr>
                  <w:r>
                    <w:rPr>
                      <w:rFonts w:hint="eastAsia"/>
                      <w:color w:val="auto"/>
                      <w:sz w:val="21"/>
                      <w:szCs w:val="21"/>
                      <w:lang w:val="en-US" w:eastAsia="zh-CN"/>
                    </w:rPr>
                    <w:t>D1新天地</w:t>
                  </w:r>
                </w:p>
                <w:p w14:paraId="19E98D8C">
                  <w:pPr>
                    <w:pStyle w:val="17"/>
                    <w:bidi w:val="0"/>
                    <w:rPr>
                      <w:rFonts w:hint="default"/>
                      <w:color w:val="auto"/>
                      <w:sz w:val="21"/>
                      <w:szCs w:val="21"/>
                      <w:lang w:val="en-US" w:eastAsia="zh-CN"/>
                    </w:rPr>
                  </w:pPr>
                  <w:r>
                    <w:rPr>
                      <w:rFonts w:hint="default"/>
                      <w:color w:val="auto"/>
                      <w:sz w:val="21"/>
                      <w:szCs w:val="21"/>
                      <w:lang w:val="en-US" w:eastAsia="zh-CN"/>
                    </w:rPr>
                    <w:t>E113.</w:t>
                  </w:r>
                  <w:r>
                    <w:rPr>
                      <w:rFonts w:hint="eastAsia"/>
                      <w:color w:val="auto"/>
                      <w:sz w:val="21"/>
                      <w:szCs w:val="21"/>
                      <w:lang w:val="en-US" w:eastAsia="zh-CN"/>
                    </w:rPr>
                    <w:t>14236</w:t>
                  </w:r>
                </w:p>
                <w:p w14:paraId="1D22E58B">
                  <w:pPr>
                    <w:pStyle w:val="17"/>
                    <w:bidi w:val="0"/>
                    <w:rPr>
                      <w:rFonts w:hint="default" w:ascii="宋体" w:hAnsi="宋体" w:eastAsia="宋体" w:cs="Times New Roman"/>
                      <w:color w:val="auto"/>
                      <w:sz w:val="24"/>
                      <w:szCs w:val="21"/>
                      <w:lang w:val="en-US" w:eastAsia="zh-CN" w:bidi="ar-SA"/>
                    </w:rPr>
                  </w:pPr>
                  <w:r>
                    <w:rPr>
                      <w:rFonts w:hint="default"/>
                      <w:color w:val="auto"/>
                      <w:sz w:val="21"/>
                      <w:szCs w:val="21"/>
                      <w:lang w:val="en-US" w:eastAsia="zh-CN"/>
                    </w:rPr>
                    <w:t>N29.</w:t>
                  </w:r>
                  <w:r>
                    <w:rPr>
                      <w:rFonts w:hint="eastAsia"/>
                      <w:color w:val="auto"/>
                      <w:sz w:val="21"/>
                      <w:szCs w:val="21"/>
                      <w:lang w:val="en-US" w:eastAsia="zh-CN"/>
                    </w:rPr>
                    <w:t>38581</w:t>
                  </w:r>
                </w:p>
              </w:tc>
              <w:tc>
                <w:tcPr>
                  <w:tcW w:w="1485" w:type="dxa"/>
                  <w:vAlign w:val="center"/>
                </w:tcPr>
                <w:p w14:paraId="591678D1">
                  <w:pPr>
                    <w:pStyle w:val="17"/>
                    <w:bidi w:val="0"/>
                    <w:rPr>
                      <w:rFonts w:hint="default"/>
                      <w:color w:val="auto"/>
                      <w:sz w:val="21"/>
                      <w:szCs w:val="21"/>
                      <w:lang w:val="en-US" w:eastAsia="zh-CN"/>
                    </w:rPr>
                  </w:pPr>
                  <w:r>
                    <w:rPr>
                      <w:rFonts w:hint="eastAsia"/>
                      <w:color w:val="auto"/>
                      <w:sz w:val="21"/>
                      <w:szCs w:val="21"/>
                      <w:lang w:val="en-US" w:eastAsia="zh-CN"/>
                    </w:rPr>
                    <w:t>D2万家垅</w:t>
                  </w:r>
                </w:p>
                <w:p w14:paraId="5EB1783E">
                  <w:pPr>
                    <w:pStyle w:val="17"/>
                    <w:bidi w:val="0"/>
                    <w:rPr>
                      <w:rFonts w:hint="default"/>
                      <w:color w:val="auto"/>
                      <w:sz w:val="21"/>
                      <w:szCs w:val="21"/>
                      <w:lang w:val="en-US" w:eastAsia="zh-CN"/>
                    </w:rPr>
                  </w:pPr>
                  <w:r>
                    <w:rPr>
                      <w:rFonts w:hint="default"/>
                      <w:color w:val="auto"/>
                      <w:sz w:val="21"/>
                      <w:szCs w:val="21"/>
                      <w:lang w:val="en-US" w:eastAsia="zh-CN"/>
                    </w:rPr>
                    <w:t>E113.</w:t>
                  </w:r>
                  <w:r>
                    <w:rPr>
                      <w:rFonts w:hint="eastAsia"/>
                      <w:color w:val="auto"/>
                      <w:sz w:val="21"/>
                      <w:szCs w:val="21"/>
                      <w:lang w:val="en-US" w:eastAsia="zh-CN"/>
                    </w:rPr>
                    <w:t>13399</w:t>
                  </w:r>
                </w:p>
                <w:p w14:paraId="6CC1B4EA">
                  <w:pPr>
                    <w:pStyle w:val="17"/>
                    <w:bidi w:val="0"/>
                    <w:rPr>
                      <w:rFonts w:hint="default" w:ascii="宋体" w:hAnsi="宋体" w:eastAsia="宋体" w:cs="Times New Roman"/>
                      <w:color w:val="auto"/>
                      <w:sz w:val="24"/>
                      <w:szCs w:val="21"/>
                      <w:lang w:val="en-US" w:eastAsia="zh-CN" w:bidi="ar-SA"/>
                    </w:rPr>
                  </w:pPr>
                  <w:r>
                    <w:rPr>
                      <w:rFonts w:hint="default"/>
                      <w:color w:val="auto"/>
                      <w:sz w:val="21"/>
                      <w:szCs w:val="21"/>
                      <w:lang w:val="en-US" w:eastAsia="zh-CN"/>
                    </w:rPr>
                    <w:t>N29.</w:t>
                  </w:r>
                  <w:r>
                    <w:rPr>
                      <w:rFonts w:hint="eastAsia"/>
                      <w:color w:val="auto"/>
                      <w:sz w:val="21"/>
                      <w:szCs w:val="21"/>
                      <w:lang w:val="en-US" w:eastAsia="zh-CN"/>
                    </w:rPr>
                    <w:t>36060</w:t>
                  </w:r>
                </w:p>
              </w:tc>
              <w:tc>
                <w:tcPr>
                  <w:tcW w:w="1485" w:type="dxa"/>
                  <w:vAlign w:val="center"/>
                </w:tcPr>
                <w:p w14:paraId="74FBCDC1">
                  <w:pPr>
                    <w:pStyle w:val="17"/>
                    <w:bidi w:val="0"/>
                    <w:rPr>
                      <w:rFonts w:hint="default"/>
                      <w:color w:val="auto"/>
                      <w:sz w:val="21"/>
                      <w:szCs w:val="21"/>
                      <w:lang w:val="en-US" w:eastAsia="zh-CN"/>
                    </w:rPr>
                  </w:pPr>
                  <w:r>
                    <w:rPr>
                      <w:rFonts w:hint="eastAsia"/>
                      <w:color w:val="auto"/>
                      <w:sz w:val="21"/>
                      <w:szCs w:val="21"/>
                      <w:lang w:val="en-US" w:eastAsia="zh-CN"/>
                    </w:rPr>
                    <w:t>D3巴陵路桥</w:t>
                  </w:r>
                </w:p>
                <w:p w14:paraId="2204CA21">
                  <w:pPr>
                    <w:pStyle w:val="17"/>
                    <w:bidi w:val="0"/>
                    <w:rPr>
                      <w:rFonts w:hint="default"/>
                      <w:color w:val="auto"/>
                      <w:sz w:val="21"/>
                      <w:szCs w:val="21"/>
                      <w:lang w:val="en-US" w:eastAsia="zh-CN"/>
                    </w:rPr>
                  </w:pPr>
                  <w:r>
                    <w:rPr>
                      <w:rFonts w:hint="default"/>
                      <w:color w:val="auto"/>
                      <w:sz w:val="21"/>
                      <w:szCs w:val="21"/>
                      <w:lang w:val="en-US" w:eastAsia="zh-CN"/>
                    </w:rPr>
                    <w:t>E113.</w:t>
                  </w:r>
                  <w:r>
                    <w:rPr>
                      <w:rFonts w:hint="eastAsia"/>
                      <w:color w:val="auto"/>
                      <w:sz w:val="21"/>
                      <w:szCs w:val="21"/>
                      <w:lang w:val="en-US" w:eastAsia="zh-CN"/>
                    </w:rPr>
                    <w:t>14967</w:t>
                  </w:r>
                </w:p>
                <w:p w14:paraId="1C2B7753">
                  <w:pPr>
                    <w:pStyle w:val="17"/>
                    <w:bidi w:val="0"/>
                    <w:rPr>
                      <w:rFonts w:hint="default" w:ascii="宋体" w:hAnsi="宋体" w:eastAsia="宋体" w:cs="Times New Roman"/>
                      <w:color w:val="auto"/>
                      <w:sz w:val="24"/>
                      <w:szCs w:val="21"/>
                      <w:lang w:val="en-US" w:eastAsia="zh-CN" w:bidi="ar-SA"/>
                    </w:rPr>
                  </w:pPr>
                  <w:r>
                    <w:rPr>
                      <w:rFonts w:hint="default"/>
                      <w:color w:val="auto"/>
                      <w:sz w:val="21"/>
                      <w:szCs w:val="21"/>
                      <w:lang w:val="en-US" w:eastAsia="zh-CN"/>
                    </w:rPr>
                    <w:t>N29.</w:t>
                  </w:r>
                  <w:r>
                    <w:rPr>
                      <w:rFonts w:hint="eastAsia"/>
                      <w:color w:val="auto"/>
                      <w:sz w:val="21"/>
                      <w:szCs w:val="21"/>
                      <w:lang w:val="en-US" w:eastAsia="zh-CN"/>
                    </w:rPr>
                    <w:t>37286</w:t>
                  </w:r>
                </w:p>
              </w:tc>
              <w:tc>
                <w:tcPr>
                  <w:tcW w:w="1487" w:type="dxa"/>
                  <w:vAlign w:val="center"/>
                </w:tcPr>
                <w:p w14:paraId="46AFF648">
                  <w:pPr>
                    <w:pStyle w:val="17"/>
                    <w:bidi w:val="0"/>
                    <w:rPr>
                      <w:rFonts w:hint="default"/>
                      <w:color w:val="auto"/>
                      <w:sz w:val="21"/>
                      <w:szCs w:val="21"/>
                      <w:lang w:val="en-US" w:eastAsia="zh-CN"/>
                    </w:rPr>
                  </w:pPr>
                  <w:r>
                    <w:rPr>
                      <w:rFonts w:hint="eastAsia"/>
                      <w:color w:val="auto"/>
                      <w:sz w:val="21"/>
                      <w:szCs w:val="21"/>
                      <w:lang w:val="en-US" w:eastAsia="zh-CN"/>
                    </w:rPr>
                    <w:t>D4陈家巷</w:t>
                  </w:r>
                </w:p>
                <w:p w14:paraId="038F8EBF">
                  <w:pPr>
                    <w:pStyle w:val="17"/>
                    <w:bidi w:val="0"/>
                    <w:rPr>
                      <w:rFonts w:hint="default"/>
                      <w:color w:val="auto"/>
                      <w:sz w:val="21"/>
                      <w:szCs w:val="21"/>
                      <w:lang w:val="en-US" w:eastAsia="zh-CN"/>
                    </w:rPr>
                  </w:pPr>
                  <w:r>
                    <w:rPr>
                      <w:rFonts w:hint="default"/>
                      <w:color w:val="auto"/>
                      <w:sz w:val="21"/>
                      <w:szCs w:val="21"/>
                      <w:lang w:val="en-US" w:eastAsia="zh-CN"/>
                    </w:rPr>
                    <w:t>E113.</w:t>
                  </w:r>
                  <w:r>
                    <w:rPr>
                      <w:rFonts w:hint="eastAsia"/>
                      <w:color w:val="auto"/>
                      <w:sz w:val="21"/>
                      <w:szCs w:val="21"/>
                      <w:lang w:val="en-US" w:eastAsia="zh-CN"/>
                    </w:rPr>
                    <w:t>09039</w:t>
                  </w:r>
                </w:p>
                <w:p w14:paraId="530DA7E4">
                  <w:pPr>
                    <w:pStyle w:val="17"/>
                    <w:bidi w:val="0"/>
                    <w:rPr>
                      <w:rFonts w:hint="default"/>
                      <w:color w:val="auto"/>
                      <w:sz w:val="21"/>
                      <w:szCs w:val="21"/>
                      <w:lang w:val="en-US" w:eastAsia="zh-CN"/>
                    </w:rPr>
                  </w:pPr>
                  <w:r>
                    <w:rPr>
                      <w:rFonts w:hint="default"/>
                      <w:color w:val="auto"/>
                      <w:sz w:val="21"/>
                      <w:szCs w:val="21"/>
                      <w:lang w:val="en-US" w:eastAsia="zh-CN"/>
                    </w:rPr>
                    <w:t>N29.</w:t>
                  </w:r>
                  <w:r>
                    <w:rPr>
                      <w:rFonts w:hint="eastAsia"/>
                      <w:color w:val="auto"/>
                      <w:sz w:val="21"/>
                      <w:szCs w:val="21"/>
                      <w:lang w:val="en-US" w:eastAsia="zh-CN"/>
                    </w:rPr>
                    <w:t>35444</w:t>
                  </w:r>
                </w:p>
              </w:tc>
              <w:tc>
                <w:tcPr>
                  <w:tcW w:w="1256" w:type="dxa"/>
                  <w:vMerge w:val="continue"/>
                  <w:vAlign w:val="center"/>
                </w:tcPr>
                <w:p w14:paraId="24FB9B6A">
                  <w:pPr>
                    <w:pStyle w:val="17"/>
                    <w:bidi w:val="0"/>
                    <w:rPr>
                      <w:rFonts w:hint="default"/>
                      <w:color w:val="auto"/>
                      <w:sz w:val="21"/>
                      <w:szCs w:val="21"/>
                      <w:lang w:val="en-US" w:eastAsia="zh-CN"/>
                    </w:rPr>
                  </w:pPr>
                </w:p>
              </w:tc>
            </w:tr>
            <w:tr w14:paraId="270A383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386" w:type="dxa"/>
                  <w:vAlign w:val="center"/>
                </w:tcPr>
                <w:p w14:paraId="0EC73BF1">
                  <w:pPr>
                    <w:spacing w:line="360" w:lineRule="exact"/>
                    <w:ind w:left="0" w:leftChars="0" w:firstLine="0" w:firstLineChars="0"/>
                    <w:jc w:val="center"/>
                    <w:rPr>
                      <w:rFonts w:hint="default" w:eastAsia="宋体"/>
                      <w:color w:val="auto"/>
                      <w:szCs w:val="21"/>
                      <w:lang w:val="en-US" w:eastAsia="zh-CN"/>
                    </w:rPr>
                  </w:pPr>
                  <w:r>
                    <w:rPr>
                      <w:rFonts w:hint="eastAsia"/>
                      <w:color w:val="auto"/>
                      <w:szCs w:val="21"/>
                      <w:lang w:val="en-US" w:eastAsia="zh-CN"/>
                    </w:rPr>
                    <w:t>1</w:t>
                  </w:r>
                </w:p>
              </w:tc>
              <w:tc>
                <w:tcPr>
                  <w:tcW w:w="645" w:type="dxa"/>
                  <w:vAlign w:val="center"/>
                </w:tcPr>
                <w:p w14:paraId="2F929D1C">
                  <w:pPr>
                    <w:keepNext w:val="0"/>
                    <w:keepLines w:val="0"/>
                    <w:pageBreakBefore w:val="0"/>
                    <w:wordWrap/>
                    <w:topLinePunct w:val="0"/>
                    <w:autoSpaceDE/>
                    <w:autoSpaceDN/>
                    <w:bidi w:val="0"/>
                    <w:snapToGrid/>
                    <w:spacing w:line="360" w:lineRule="exact"/>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pH</w:t>
                  </w:r>
                </w:p>
              </w:tc>
              <w:tc>
                <w:tcPr>
                  <w:tcW w:w="1485" w:type="dxa"/>
                  <w:shd w:val="clear" w:color="auto" w:fill="auto"/>
                  <w:vAlign w:val="center"/>
                </w:tcPr>
                <w:p w14:paraId="39DC7C5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7.61</w:t>
                  </w:r>
                </w:p>
              </w:tc>
              <w:tc>
                <w:tcPr>
                  <w:tcW w:w="1485" w:type="dxa"/>
                  <w:shd w:val="clear" w:color="auto" w:fill="auto"/>
                  <w:vAlign w:val="center"/>
                </w:tcPr>
                <w:p w14:paraId="2A1643B5">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7.66</w:t>
                  </w:r>
                </w:p>
              </w:tc>
              <w:tc>
                <w:tcPr>
                  <w:tcW w:w="1485" w:type="dxa"/>
                  <w:shd w:val="clear" w:color="auto" w:fill="auto"/>
                  <w:vAlign w:val="center"/>
                </w:tcPr>
                <w:p w14:paraId="6A70B04D">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7.68</w:t>
                  </w:r>
                </w:p>
              </w:tc>
              <w:tc>
                <w:tcPr>
                  <w:tcW w:w="1487" w:type="dxa"/>
                  <w:shd w:val="clear" w:color="auto" w:fill="auto"/>
                  <w:vAlign w:val="center"/>
                </w:tcPr>
                <w:p w14:paraId="50ADEB41">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7.82</w:t>
                  </w:r>
                </w:p>
              </w:tc>
              <w:tc>
                <w:tcPr>
                  <w:tcW w:w="1256" w:type="dxa"/>
                  <w:shd w:val="clear" w:color="auto" w:fill="auto"/>
                  <w:vAlign w:val="center"/>
                </w:tcPr>
                <w:p w14:paraId="2AF4895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pH&gt;7.5</w:t>
                  </w:r>
                </w:p>
              </w:tc>
            </w:tr>
            <w:tr w14:paraId="6CC99E2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386" w:type="dxa"/>
                  <w:vAlign w:val="center"/>
                </w:tcPr>
                <w:p w14:paraId="0DD93F3C">
                  <w:pPr>
                    <w:widowControl/>
                    <w:spacing w:line="360" w:lineRule="exact"/>
                    <w:jc w:val="center"/>
                    <w:textAlignment w:val="center"/>
                    <w:rPr>
                      <w:rFonts w:hint="default" w:eastAsia="宋体"/>
                      <w:color w:val="auto"/>
                      <w:szCs w:val="21"/>
                      <w:lang w:val="en-US" w:eastAsia="zh-CN"/>
                    </w:rPr>
                  </w:pPr>
                  <w:r>
                    <w:rPr>
                      <w:rFonts w:hint="eastAsia"/>
                      <w:color w:val="auto"/>
                      <w:szCs w:val="21"/>
                      <w:lang w:val="en-US" w:eastAsia="zh-CN"/>
                    </w:rPr>
                    <w:t>2</w:t>
                  </w:r>
                </w:p>
              </w:tc>
              <w:tc>
                <w:tcPr>
                  <w:tcW w:w="645" w:type="dxa"/>
                  <w:vAlign w:val="center"/>
                </w:tcPr>
                <w:p w14:paraId="47BD9718">
                  <w:pPr>
                    <w:keepNext w:val="0"/>
                    <w:keepLines w:val="0"/>
                    <w:pageBreakBefore w:val="0"/>
                    <w:wordWrap/>
                    <w:topLinePunct w:val="0"/>
                    <w:autoSpaceDE/>
                    <w:autoSpaceDN/>
                    <w:bidi w:val="0"/>
                    <w:snapToGrid/>
                    <w:spacing w:line="360" w:lineRule="exact"/>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砷</w:t>
                  </w:r>
                </w:p>
              </w:tc>
              <w:tc>
                <w:tcPr>
                  <w:tcW w:w="1485" w:type="dxa"/>
                  <w:shd w:val="clear" w:color="auto" w:fill="auto"/>
                  <w:vAlign w:val="center"/>
                </w:tcPr>
                <w:p w14:paraId="0EACE251">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6.29</w:t>
                  </w:r>
                </w:p>
              </w:tc>
              <w:tc>
                <w:tcPr>
                  <w:tcW w:w="1485" w:type="dxa"/>
                  <w:shd w:val="clear" w:color="auto" w:fill="auto"/>
                  <w:vAlign w:val="center"/>
                </w:tcPr>
                <w:p w14:paraId="77A90593">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6.92</w:t>
                  </w:r>
                </w:p>
              </w:tc>
              <w:tc>
                <w:tcPr>
                  <w:tcW w:w="1485" w:type="dxa"/>
                  <w:shd w:val="clear" w:color="auto" w:fill="auto"/>
                  <w:vAlign w:val="center"/>
                </w:tcPr>
                <w:p w14:paraId="102B80F1">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7.05</w:t>
                  </w:r>
                </w:p>
              </w:tc>
              <w:tc>
                <w:tcPr>
                  <w:tcW w:w="1487" w:type="dxa"/>
                  <w:shd w:val="clear" w:color="auto" w:fill="auto"/>
                  <w:vAlign w:val="center"/>
                </w:tcPr>
                <w:p w14:paraId="6C798754">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7.64</w:t>
                  </w:r>
                </w:p>
              </w:tc>
              <w:tc>
                <w:tcPr>
                  <w:tcW w:w="1256" w:type="dxa"/>
                  <w:shd w:val="clear" w:color="auto" w:fill="auto"/>
                  <w:vAlign w:val="center"/>
                </w:tcPr>
                <w:p w14:paraId="0E0C9196">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w:t>
                  </w:r>
                </w:p>
              </w:tc>
            </w:tr>
            <w:tr w14:paraId="054DFBC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386" w:type="dxa"/>
                  <w:vAlign w:val="center"/>
                </w:tcPr>
                <w:p w14:paraId="01B89F99">
                  <w:pPr>
                    <w:widowControl/>
                    <w:spacing w:line="360" w:lineRule="exact"/>
                    <w:jc w:val="center"/>
                    <w:textAlignment w:val="center"/>
                    <w:rPr>
                      <w:rFonts w:hint="default" w:eastAsia="宋体"/>
                      <w:color w:val="auto"/>
                      <w:szCs w:val="21"/>
                      <w:lang w:val="en-US" w:eastAsia="zh-CN"/>
                    </w:rPr>
                  </w:pPr>
                  <w:r>
                    <w:rPr>
                      <w:rFonts w:hint="eastAsia"/>
                      <w:color w:val="auto"/>
                      <w:szCs w:val="21"/>
                      <w:lang w:val="en-US" w:eastAsia="zh-CN"/>
                    </w:rPr>
                    <w:t>3</w:t>
                  </w:r>
                </w:p>
              </w:tc>
              <w:tc>
                <w:tcPr>
                  <w:tcW w:w="645" w:type="dxa"/>
                  <w:vAlign w:val="center"/>
                </w:tcPr>
                <w:p w14:paraId="6931D829">
                  <w:pPr>
                    <w:keepNext w:val="0"/>
                    <w:keepLines w:val="0"/>
                    <w:pageBreakBefore w:val="0"/>
                    <w:wordWrap/>
                    <w:topLinePunct w:val="0"/>
                    <w:autoSpaceDE/>
                    <w:autoSpaceDN/>
                    <w:bidi w:val="0"/>
                    <w:snapToGrid/>
                    <w:spacing w:line="360" w:lineRule="exact"/>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铜</w:t>
                  </w:r>
                </w:p>
              </w:tc>
              <w:tc>
                <w:tcPr>
                  <w:tcW w:w="1485" w:type="dxa"/>
                  <w:shd w:val="clear" w:color="auto" w:fill="auto"/>
                  <w:vAlign w:val="center"/>
                </w:tcPr>
                <w:p w14:paraId="11994F83">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39</w:t>
                  </w:r>
                </w:p>
              </w:tc>
              <w:tc>
                <w:tcPr>
                  <w:tcW w:w="1485" w:type="dxa"/>
                  <w:shd w:val="clear" w:color="auto" w:fill="auto"/>
                  <w:vAlign w:val="center"/>
                </w:tcPr>
                <w:p w14:paraId="1D39AAF4">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41</w:t>
                  </w:r>
                </w:p>
              </w:tc>
              <w:tc>
                <w:tcPr>
                  <w:tcW w:w="1485" w:type="dxa"/>
                  <w:shd w:val="clear" w:color="auto" w:fill="auto"/>
                  <w:vAlign w:val="center"/>
                </w:tcPr>
                <w:p w14:paraId="391B8D9D">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22</w:t>
                  </w:r>
                </w:p>
              </w:tc>
              <w:tc>
                <w:tcPr>
                  <w:tcW w:w="1487" w:type="dxa"/>
                  <w:shd w:val="clear" w:color="auto" w:fill="auto"/>
                  <w:vAlign w:val="center"/>
                </w:tcPr>
                <w:p w14:paraId="5824B8A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59</w:t>
                  </w:r>
                </w:p>
              </w:tc>
              <w:tc>
                <w:tcPr>
                  <w:tcW w:w="1256" w:type="dxa"/>
                  <w:shd w:val="clear" w:color="auto" w:fill="auto"/>
                  <w:vAlign w:val="center"/>
                </w:tcPr>
                <w:p w14:paraId="422E7781">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w:t>
                  </w:r>
                </w:p>
              </w:tc>
            </w:tr>
            <w:tr w14:paraId="7671C8F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386" w:type="dxa"/>
                  <w:vAlign w:val="center"/>
                </w:tcPr>
                <w:p w14:paraId="5A9F9ABA">
                  <w:pPr>
                    <w:widowControl/>
                    <w:spacing w:line="360" w:lineRule="exact"/>
                    <w:jc w:val="center"/>
                    <w:textAlignment w:val="center"/>
                    <w:rPr>
                      <w:rFonts w:hint="default"/>
                      <w:color w:val="auto"/>
                      <w:szCs w:val="21"/>
                      <w:lang w:val="en-US" w:eastAsia="zh-CN"/>
                    </w:rPr>
                  </w:pPr>
                  <w:r>
                    <w:rPr>
                      <w:rFonts w:hint="eastAsia"/>
                      <w:color w:val="auto"/>
                      <w:szCs w:val="21"/>
                      <w:lang w:val="en-US" w:eastAsia="zh-CN"/>
                    </w:rPr>
                    <w:t>4</w:t>
                  </w:r>
                </w:p>
              </w:tc>
              <w:tc>
                <w:tcPr>
                  <w:tcW w:w="645" w:type="dxa"/>
                  <w:vAlign w:val="center"/>
                </w:tcPr>
                <w:p w14:paraId="18A4F7F5">
                  <w:pPr>
                    <w:keepNext w:val="0"/>
                    <w:keepLines w:val="0"/>
                    <w:pageBreakBefore w:val="0"/>
                    <w:wordWrap/>
                    <w:topLinePunct w:val="0"/>
                    <w:autoSpaceDE/>
                    <w:autoSpaceDN/>
                    <w:bidi w:val="0"/>
                    <w:snapToGrid/>
                    <w:spacing w:line="360" w:lineRule="exact"/>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铬</w:t>
                  </w:r>
                </w:p>
              </w:tc>
              <w:tc>
                <w:tcPr>
                  <w:tcW w:w="1485" w:type="dxa"/>
                  <w:shd w:val="clear" w:color="auto" w:fill="auto"/>
                  <w:vAlign w:val="center"/>
                </w:tcPr>
                <w:p w14:paraId="280B9037">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27</w:t>
                  </w:r>
                </w:p>
              </w:tc>
              <w:tc>
                <w:tcPr>
                  <w:tcW w:w="1485" w:type="dxa"/>
                  <w:shd w:val="clear" w:color="auto" w:fill="auto"/>
                  <w:vAlign w:val="center"/>
                </w:tcPr>
                <w:p w14:paraId="08CF0A71">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21</w:t>
                  </w:r>
                </w:p>
              </w:tc>
              <w:tc>
                <w:tcPr>
                  <w:tcW w:w="1485" w:type="dxa"/>
                  <w:shd w:val="clear" w:color="auto" w:fill="auto"/>
                  <w:vAlign w:val="center"/>
                </w:tcPr>
                <w:p w14:paraId="2FC2394A">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11</w:t>
                  </w:r>
                </w:p>
              </w:tc>
              <w:tc>
                <w:tcPr>
                  <w:tcW w:w="1487" w:type="dxa"/>
                  <w:shd w:val="clear" w:color="auto" w:fill="auto"/>
                  <w:vAlign w:val="center"/>
                </w:tcPr>
                <w:p w14:paraId="65E76E79">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12</w:t>
                  </w:r>
                </w:p>
              </w:tc>
              <w:tc>
                <w:tcPr>
                  <w:tcW w:w="1256" w:type="dxa"/>
                  <w:shd w:val="clear" w:color="auto" w:fill="auto"/>
                  <w:vAlign w:val="center"/>
                </w:tcPr>
                <w:p w14:paraId="4699460C">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250</w:t>
                  </w:r>
                </w:p>
              </w:tc>
            </w:tr>
            <w:tr w14:paraId="79458F3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386" w:type="dxa"/>
                  <w:vAlign w:val="center"/>
                </w:tcPr>
                <w:p w14:paraId="0B474297">
                  <w:pPr>
                    <w:widowControl/>
                    <w:spacing w:line="360" w:lineRule="exact"/>
                    <w:jc w:val="center"/>
                    <w:textAlignment w:val="center"/>
                    <w:rPr>
                      <w:rFonts w:hint="default"/>
                      <w:color w:val="auto"/>
                      <w:szCs w:val="21"/>
                      <w:lang w:val="en-US" w:eastAsia="zh-CN"/>
                    </w:rPr>
                  </w:pPr>
                  <w:r>
                    <w:rPr>
                      <w:rFonts w:hint="eastAsia"/>
                      <w:color w:val="auto"/>
                      <w:szCs w:val="21"/>
                      <w:lang w:val="en-US" w:eastAsia="zh-CN"/>
                    </w:rPr>
                    <w:t>5</w:t>
                  </w:r>
                </w:p>
              </w:tc>
              <w:tc>
                <w:tcPr>
                  <w:tcW w:w="645" w:type="dxa"/>
                  <w:vAlign w:val="center"/>
                </w:tcPr>
                <w:p w14:paraId="79E5ED81">
                  <w:pPr>
                    <w:keepNext w:val="0"/>
                    <w:keepLines w:val="0"/>
                    <w:pageBreakBefore w:val="0"/>
                    <w:wordWrap/>
                    <w:topLinePunct w:val="0"/>
                    <w:autoSpaceDE/>
                    <w:autoSpaceDN/>
                    <w:bidi w:val="0"/>
                    <w:snapToGrid/>
                    <w:spacing w:line="360" w:lineRule="exact"/>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镉</w:t>
                  </w:r>
                </w:p>
              </w:tc>
              <w:tc>
                <w:tcPr>
                  <w:tcW w:w="1485" w:type="dxa"/>
                  <w:shd w:val="clear" w:color="auto" w:fill="auto"/>
                  <w:vAlign w:val="center"/>
                </w:tcPr>
                <w:p w14:paraId="6B3F97F8">
                  <w:pPr>
                    <w:adjustRightIn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rPr>
                    <w:t>ND</w:t>
                  </w:r>
                </w:p>
              </w:tc>
              <w:tc>
                <w:tcPr>
                  <w:tcW w:w="1485" w:type="dxa"/>
                  <w:shd w:val="clear" w:color="auto" w:fill="auto"/>
                  <w:vAlign w:val="center"/>
                </w:tcPr>
                <w:p w14:paraId="18942589">
                  <w:pPr>
                    <w:adjustRightIn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rPr>
                    <w:t>ND</w:t>
                  </w:r>
                </w:p>
              </w:tc>
              <w:tc>
                <w:tcPr>
                  <w:tcW w:w="1485" w:type="dxa"/>
                  <w:shd w:val="clear" w:color="auto" w:fill="auto"/>
                  <w:vAlign w:val="center"/>
                </w:tcPr>
                <w:p w14:paraId="6A4599F2">
                  <w:pPr>
                    <w:adjustRightIn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rPr>
                    <w:t>ND</w:t>
                  </w:r>
                </w:p>
              </w:tc>
              <w:tc>
                <w:tcPr>
                  <w:tcW w:w="1487" w:type="dxa"/>
                  <w:shd w:val="clear" w:color="auto" w:fill="auto"/>
                  <w:vAlign w:val="center"/>
                </w:tcPr>
                <w:p w14:paraId="34E9BB66">
                  <w:pPr>
                    <w:adjustRightIn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color w:val="auto"/>
                      <w:szCs w:val="21"/>
                    </w:rPr>
                    <w:t>ND</w:t>
                  </w:r>
                </w:p>
              </w:tc>
              <w:tc>
                <w:tcPr>
                  <w:tcW w:w="1256" w:type="dxa"/>
                  <w:shd w:val="clear" w:color="auto" w:fill="auto"/>
                  <w:vAlign w:val="center"/>
                </w:tcPr>
                <w:p w14:paraId="6545B5A8">
                  <w:pPr>
                    <w:adjustRightInd/>
                    <w:spacing w:line="360" w:lineRule="exact"/>
                    <w:jc w:val="center"/>
                    <w:textAlignment w:val="auto"/>
                    <w:rPr>
                      <w:rFonts w:hint="default" w:eastAsia="宋体"/>
                      <w:color w:val="auto"/>
                      <w:szCs w:val="21"/>
                      <w:lang w:val="en-US" w:eastAsia="zh-CN"/>
                    </w:rPr>
                  </w:pPr>
                  <w:r>
                    <w:rPr>
                      <w:rFonts w:hint="eastAsia"/>
                      <w:color w:val="auto"/>
                      <w:szCs w:val="21"/>
                      <w:lang w:val="en-US" w:eastAsia="zh-CN"/>
                    </w:rPr>
                    <w:t>0.6</w:t>
                  </w:r>
                </w:p>
              </w:tc>
            </w:tr>
            <w:tr w14:paraId="49C1D12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386" w:type="dxa"/>
                  <w:vAlign w:val="center"/>
                </w:tcPr>
                <w:p w14:paraId="63DA34BB">
                  <w:pPr>
                    <w:widowControl/>
                    <w:spacing w:line="360" w:lineRule="exact"/>
                    <w:jc w:val="center"/>
                    <w:textAlignment w:val="center"/>
                    <w:rPr>
                      <w:rFonts w:hint="default"/>
                      <w:color w:val="auto"/>
                      <w:szCs w:val="21"/>
                      <w:lang w:val="en-US" w:eastAsia="zh-CN"/>
                    </w:rPr>
                  </w:pPr>
                  <w:r>
                    <w:rPr>
                      <w:rFonts w:hint="eastAsia"/>
                      <w:color w:val="auto"/>
                      <w:szCs w:val="21"/>
                      <w:lang w:val="en-US" w:eastAsia="zh-CN"/>
                    </w:rPr>
                    <w:t>6</w:t>
                  </w:r>
                </w:p>
              </w:tc>
              <w:tc>
                <w:tcPr>
                  <w:tcW w:w="645" w:type="dxa"/>
                  <w:vAlign w:val="center"/>
                </w:tcPr>
                <w:p w14:paraId="57403396">
                  <w:pPr>
                    <w:keepNext w:val="0"/>
                    <w:keepLines w:val="0"/>
                    <w:pageBreakBefore w:val="0"/>
                    <w:wordWrap/>
                    <w:topLinePunct w:val="0"/>
                    <w:autoSpaceDE/>
                    <w:autoSpaceDN/>
                    <w:bidi w:val="0"/>
                    <w:snapToGrid/>
                    <w:spacing w:line="360" w:lineRule="exact"/>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铅</w:t>
                  </w:r>
                </w:p>
              </w:tc>
              <w:tc>
                <w:tcPr>
                  <w:tcW w:w="1485" w:type="dxa"/>
                  <w:shd w:val="clear" w:color="auto" w:fill="auto"/>
                  <w:vAlign w:val="center"/>
                </w:tcPr>
                <w:p w14:paraId="03B13C9D">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8.87</w:t>
                  </w:r>
                </w:p>
              </w:tc>
              <w:tc>
                <w:tcPr>
                  <w:tcW w:w="1485" w:type="dxa"/>
                  <w:shd w:val="clear" w:color="auto" w:fill="auto"/>
                  <w:vAlign w:val="center"/>
                </w:tcPr>
                <w:p w14:paraId="682BF3B6">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7.8</w:t>
                  </w:r>
                </w:p>
              </w:tc>
              <w:tc>
                <w:tcPr>
                  <w:tcW w:w="1485" w:type="dxa"/>
                  <w:shd w:val="clear" w:color="auto" w:fill="auto"/>
                  <w:vAlign w:val="center"/>
                </w:tcPr>
                <w:p w14:paraId="4029274B">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8.3</w:t>
                  </w:r>
                </w:p>
              </w:tc>
              <w:tc>
                <w:tcPr>
                  <w:tcW w:w="1487" w:type="dxa"/>
                  <w:shd w:val="clear" w:color="auto" w:fill="auto"/>
                  <w:vAlign w:val="center"/>
                </w:tcPr>
                <w:p w14:paraId="274A63D6">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9.3</w:t>
                  </w:r>
                </w:p>
              </w:tc>
              <w:tc>
                <w:tcPr>
                  <w:tcW w:w="1256" w:type="dxa"/>
                  <w:shd w:val="clear" w:color="auto" w:fill="auto"/>
                  <w:vAlign w:val="center"/>
                </w:tcPr>
                <w:p w14:paraId="7187559B">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170</w:t>
                  </w:r>
                </w:p>
              </w:tc>
            </w:tr>
            <w:tr w14:paraId="46F1CE4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386" w:type="dxa"/>
                  <w:vAlign w:val="center"/>
                </w:tcPr>
                <w:p w14:paraId="07382BF7">
                  <w:pPr>
                    <w:widowControl/>
                    <w:spacing w:line="360" w:lineRule="exact"/>
                    <w:jc w:val="center"/>
                    <w:textAlignment w:val="center"/>
                    <w:rPr>
                      <w:rFonts w:hint="default"/>
                      <w:color w:val="auto"/>
                      <w:szCs w:val="21"/>
                      <w:lang w:val="en-US" w:eastAsia="zh-CN"/>
                    </w:rPr>
                  </w:pPr>
                  <w:r>
                    <w:rPr>
                      <w:rFonts w:hint="eastAsia"/>
                      <w:color w:val="auto"/>
                      <w:szCs w:val="21"/>
                      <w:lang w:val="en-US" w:eastAsia="zh-CN"/>
                    </w:rPr>
                    <w:t>7</w:t>
                  </w:r>
                </w:p>
              </w:tc>
              <w:tc>
                <w:tcPr>
                  <w:tcW w:w="645" w:type="dxa"/>
                  <w:vAlign w:val="center"/>
                </w:tcPr>
                <w:p w14:paraId="25790F7C">
                  <w:pPr>
                    <w:keepNext w:val="0"/>
                    <w:keepLines w:val="0"/>
                    <w:pageBreakBefore w:val="0"/>
                    <w:wordWrap/>
                    <w:topLinePunct w:val="0"/>
                    <w:autoSpaceDE/>
                    <w:autoSpaceDN/>
                    <w:bidi w:val="0"/>
                    <w:snapToGrid/>
                    <w:spacing w:line="360" w:lineRule="exact"/>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锌</w:t>
                  </w:r>
                </w:p>
              </w:tc>
              <w:tc>
                <w:tcPr>
                  <w:tcW w:w="1485" w:type="dxa"/>
                  <w:shd w:val="clear" w:color="auto" w:fill="auto"/>
                  <w:vAlign w:val="center"/>
                </w:tcPr>
                <w:p w14:paraId="03B87378">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37</w:t>
                  </w:r>
                </w:p>
              </w:tc>
              <w:tc>
                <w:tcPr>
                  <w:tcW w:w="1485" w:type="dxa"/>
                  <w:shd w:val="clear" w:color="auto" w:fill="auto"/>
                  <w:vAlign w:val="center"/>
                </w:tcPr>
                <w:p w14:paraId="6672E228">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96</w:t>
                  </w:r>
                </w:p>
              </w:tc>
              <w:tc>
                <w:tcPr>
                  <w:tcW w:w="1485" w:type="dxa"/>
                  <w:shd w:val="clear" w:color="auto" w:fill="auto"/>
                  <w:vAlign w:val="center"/>
                </w:tcPr>
                <w:p w14:paraId="3E8245AE">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51</w:t>
                  </w:r>
                </w:p>
              </w:tc>
              <w:tc>
                <w:tcPr>
                  <w:tcW w:w="1487" w:type="dxa"/>
                  <w:shd w:val="clear" w:color="auto" w:fill="auto"/>
                  <w:vAlign w:val="center"/>
                </w:tcPr>
                <w:p w14:paraId="4A4C635D">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38</w:t>
                  </w:r>
                </w:p>
              </w:tc>
              <w:tc>
                <w:tcPr>
                  <w:tcW w:w="1256" w:type="dxa"/>
                  <w:shd w:val="clear" w:color="auto" w:fill="auto"/>
                  <w:vAlign w:val="center"/>
                </w:tcPr>
                <w:p w14:paraId="51AB6E06">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300</w:t>
                  </w:r>
                </w:p>
              </w:tc>
            </w:tr>
            <w:tr w14:paraId="60AFDD7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386" w:type="dxa"/>
                  <w:vAlign w:val="center"/>
                </w:tcPr>
                <w:p w14:paraId="38E22FC0">
                  <w:pPr>
                    <w:widowControl/>
                    <w:spacing w:line="360" w:lineRule="exact"/>
                    <w:jc w:val="center"/>
                    <w:textAlignment w:val="center"/>
                    <w:rPr>
                      <w:rFonts w:hint="default"/>
                      <w:color w:val="auto"/>
                      <w:szCs w:val="21"/>
                      <w:lang w:val="en-US" w:eastAsia="zh-CN"/>
                    </w:rPr>
                  </w:pPr>
                  <w:r>
                    <w:rPr>
                      <w:rFonts w:hint="eastAsia"/>
                      <w:color w:val="auto"/>
                      <w:szCs w:val="21"/>
                      <w:lang w:val="en-US" w:eastAsia="zh-CN"/>
                    </w:rPr>
                    <w:t>8</w:t>
                  </w:r>
                </w:p>
              </w:tc>
              <w:tc>
                <w:tcPr>
                  <w:tcW w:w="645" w:type="dxa"/>
                  <w:vAlign w:val="center"/>
                </w:tcPr>
                <w:p w14:paraId="57230DFB">
                  <w:pPr>
                    <w:keepNext w:val="0"/>
                    <w:keepLines w:val="0"/>
                    <w:pageBreakBefore w:val="0"/>
                    <w:wordWrap/>
                    <w:topLinePunct w:val="0"/>
                    <w:autoSpaceDE/>
                    <w:autoSpaceDN/>
                    <w:bidi w:val="0"/>
                    <w:snapToGrid/>
                    <w:spacing w:line="360" w:lineRule="exact"/>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镍</w:t>
                  </w:r>
                </w:p>
              </w:tc>
              <w:tc>
                <w:tcPr>
                  <w:tcW w:w="1485" w:type="dxa"/>
                  <w:shd w:val="clear" w:color="auto" w:fill="auto"/>
                  <w:vAlign w:val="center"/>
                </w:tcPr>
                <w:p w14:paraId="748F6A91">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6.71</w:t>
                  </w:r>
                </w:p>
              </w:tc>
              <w:tc>
                <w:tcPr>
                  <w:tcW w:w="1485" w:type="dxa"/>
                  <w:shd w:val="clear" w:color="auto" w:fill="auto"/>
                  <w:vAlign w:val="center"/>
                </w:tcPr>
                <w:p w14:paraId="1BD509B7">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20.1</w:t>
                  </w:r>
                </w:p>
              </w:tc>
              <w:tc>
                <w:tcPr>
                  <w:tcW w:w="1485" w:type="dxa"/>
                  <w:shd w:val="clear" w:color="auto" w:fill="auto"/>
                  <w:vAlign w:val="center"/>
                </w:tcPr>
                <w:p w14:paraId="2194D370">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11.3</w:t>
                  </w:r>
                </w:p>
              </w:tc>
              <w:tc>
                <w:tcPr>
                  <w:tcW w:w="1487" w:type="dxa"/>
                  <w:shd w:val="clear" w:color="auto" w:fill="auto"/>
                  <w:vAlign w:val="center"/>
                </w:tcPr>
                <w:p w14:paraId="2CC41DCD">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12.9</w:t>
                  </w:r>
                </w:p>
              </w:tc>
              <w:tc>
                <w:tcPr>
                  <w:tcW w:w="1256" w:type="dxa"/>
                  <w:shd w:val="clear" w:color="auto" w:fill="auto"/>
                  <w:vAlign w:val="center"/>
                </w:tcPr>
                <w:p w14:paraId="671EDC10">
                  <w:pPr>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190</w:t>
                  </w:r>
                </w:p>
              </w:tc>
            </w:tr>
          </w:tbl>
          <w:p w14:paraId="085C12A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宋体" w:hAnsi="宋体" w:eastAsia="宋体" w:cs="宋体"/>
                <w:b w:val="0"/>
                <w:bCs w:val="0"/>
                <w:color w:val="auto"/>
                <w:sz w:val="24"/>
                <w:szCs w:val="24"/>
                <w:lang w:val="en-US" w:eastAsia="zh-CN"/>
              </w:rPr>
            </w:pPr>
            <w:r>
              <w:rPr>
                <w:rFonts w:hint="eastAsia" w:ascii="宋体" w:hAnsi="宋体" w:cs="宋体"/>
                <w:b w:val="0"/>
                <w:bCs w:val="0"/>
                <w:color w:val="auto"/>
                <w:sz w:val="24"/>
                <w:szCs w:val="24"/>
                <w:lang w:val="en-US" w:eastAsia="zh-CN"/>
              </w:rPr>
              <w:t>从检测结果看，排水管网主要承接雨水排放，其淤泥中各重金属含量均较低，满足《土壤环境质量 农用地土壤污染风险管控标准（试行）》(GB 15618-2018）标准要求，</w:t>
            </w:r>
            <w:r>
              <w:rPr>
                <w:rFonts w:hint="eastAsia" w:ascii="宋体" w:hAnsi="宋体" w:cs="宋体"/>
                <w:b w:val="0"/>
                <w:bCs w:val="0"/>
                <w:color w:val="auto"/>
                <w:sz w:val="24"/>
                <w:szCs w:val="24"/>
                <w:highlight w:val="none"/>
                <w:lang w:val="en-US" w:eastAsia="zh-CN"/>
              </w:rPr>
              <w:t>交岳阳楼区市政部门统一处理，</w:t>
            </w:r>
            <w:r>
              <w:rPr>
                <w:rFonts w:hint="eastAsia" w:ascii="宋体" w:hAnsi="宋体" w:cs="宋体"/>
                <w:b w:val="0"/>
                <w:bCs w:val="0"/>
                <w:color w:val="auto"/>
                <w:sz w:val="24"/>
                <w:szCs w:val="24"/>
                <w:lang w:val="en-US" w:eastAsia="zh-CN"/>
              </w:rPr>
              <w:t>不会对当地土壤造成污染。</w:t>
            </w:r>
          </w:p>
          <w:p w14:paraId="35383A92">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宋体" w:hAnsi="宋体" w:eastAsia="宋体" w:cs="宋体"/>
                <w:b/>
                <w:bCs/>
                <w:color w:val="auto"/>
                <w:sz w:val="24"/>
                <w:szCs w:val="24"/>
                <w:lang w:val="en-US" w:eastAsia="zh-CN"/>
              </w:rPr>
            </w:pPr>
            <w:r>
              <w:rPr>
                <w:rFonts w:hint="eastAsia" w:ascii="宋体" w:hAnsi="宋体" w:cs="宋体"/>
                <w:b/>
                <w:bCs/>
                <w:color w:val="auto"/>
                <w:sz w:val="24"/>
                <w:szCs w:val="24"/>
                <w:lang w:val="en-US" w:eastAsia="zh-CN"/>
              </w:rPr>
              <w:t>3、声环境质量</w:t>
            </w:r>
          </w:p>
          <w:p w14:paraId="41BA5CB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宋体" w:hAnsi="宋体" w:eastAsia="宋体" w:cs="宋体"/>
                <w:b w:val="0"/>
                <w:bCs w:val="0"/>
                <w:color w:val="auto"/>
                <w:sz w:val="24"/>
                <w:szCs w:val="24"/>
                <w:lang w:eastAsia="zh-CN"/>
              </w:rPr>
            </w:pPr>
            <w:r>
              <w:rPr>
                <w:rFonts w:hint="eastAsia" w:ascii="宋体" w:hAnsi="宋体" w:cs="宋体"/>
                <w:b w:val="0"/>
                <w:bCs w:val="0"/>
                <w:color w:val="auto"/>
                <w:sz w:val="24"/>
                <w:szCs w:val="24"/>
                <w:lang w:eastAsia="zh-CN"/>
              </w:rPr>
              <w:t>根据</w:t>
            </w:r>
            <w:r>
              <w:rPr>
                <w:rFonts w:hint="eastAsia" w:ascii="宋体" w:hAnsi="宋体" w:cs="宋体"/>
                <w:b w:val="0"/>
                <w:bCs w:val="0"/>
                <w:color w:val="auto"/>
                <w:sz w:val="24"/>
                <w:szCs w:val="24"/>
                <w:lang w:val="en-US" w:eastAsia="zh-CN"/>
              </w:rPr>
              <w:t>2025年11月25日，</w:t>
            </w:r>
            <w:r>
              <w:rPr>
                <w:rFonts w:hint="default" w:ascii="宋体" w:hAnsi="宋体" w:eastAsia="宋体" w:cs="宋体"/>
                <w:b w:val="0"/>
                <w:bCs w:val="0"/>
                <w:color w:val="auto"/>
                <w:sz w:val="24"/>
                <w:szCs w:val="24"/>
                <w:lang w:eastAsia="zh-CN"/>
              </w:rPr>
              <w:t>对</w:t>
            </w:r>
            <w:r>
              <w:rPr>
                <w:rFonts w:hint="eastAsia" w:ascii="宋体" w:hAnsi="宋体" w:cs="宋体"/>
                <w:b w:val="0"/>
                <w:bCs w:val="0"/>
                <w:color w:val="auto"/>
                <w:sz w:val="24"/>
                <w:szCs w:val="24"/>
                <w:lang w:eastAsia="zh-CN"/>
              </w:rPr>
              <w:t>项目周边环境敏感点（居民区、学校）处的</w:t>
            </w:r>
            <w:r>
              <w:rPr>
                <w:rFonts w:hint="default" w:ascii="宋体" w:hAnsi="宋体" w:eastAsia="宋体" w:cs="宋体"/>
                <w:b w:val="0"/>
                <w:bCs w:val="0"/>
                <w:color w:val="auto"/>
                <w:sz w:val="24"/>
                <w:szCs w:val="24"/>
                <w:lang w:eastAsia="zh-CN"/>
              </w:rPr>
              <w:t>噪声监测</w:t>
            </w:r>
            <w:r>
              <w:rPr>
                <w:rFonts w:hint="eastAsia" w:ascii="宋体" w:hAnsi="宋体" w:cs="宋体"/>
                <w:b w:val="0"/>
                <w:bCs w:val="0"/>
                <w:color w:val="auto"/>
                <w:sz w:val="24"/>
                <w:szCs w:val="24"/>
                <w:lang w:eastAsia="zh-CN"/>
              </w:rPr>
              <w:t>结果，可知，环境敏感点</w:t>
            </w:r>
            <w:r>
              <w:rPr>
                <w:rFonts w:hint="eastAsia" w:ascii="宋体" w:hAnsi="宋体" w:eastAsia="宋体" w:cs="宋体"/>
                <w:b w:val="0"/>
                <w:bCs w:val="0"/>
                <w:color w:val="auto"/>
                <w:sz w:val="24"/>
                <w:szCs w:val="24"/>
                <w:lang w:val="en-US" w:eastAsia="zh-CN"/>
              </w:rPr>
              <w:t>声环境质量，满足</w:t>
            </w:r>
            <w:r>
              <w:rPr>
                <w:rFonts w:hint="eastAsia" w:ascii="宋体" w:hAnsi="宋体" w:cs="宋体"/>
                <w:b w:val="0"/>
                <w:bCs w:val="0"/>
                <w:color w:val="auto"/>
                <w:sz w:val="24"/>
                <w:szCs w:val="24"/>
                <w:lang w:val="en-US" w:eastAsia="zh-CN"/>
              </w:rPr>
              <w:t>2</w:t>
            </w:r>
            <w:r>
              <w:rPr>
                <w:rFonts w:hint="eastAsia" w:ascii="宋体" w:hAnsi="宋体" w:eastAsia="宋体" w:cs="宋体"/>
                <w:b w:val="0"/>
                <w:bCs w:val="0"/>
                <w:color w:val="auto"/>
                <w:sz w:val="24"/>
                <w:szCs w:val="24"/>
                <w:lang w:val="en-US" w:eastAsia="zh-CN"/>
              </w:rPr>
              <w:t>类标准要求</w:t>
            </w:r>
            <w:r>
              <w:rPr>
                <w:rFonts w:hint="eastAsia" w:ascii="宋体" w:hAnsi="宋体" w:cs="宋体"/>
                <w:b w:val="0"/>
                <w:bCs w:val="0"/>
                <w:color w:val="auto"/>
                <w:sz w:val="24"/>
                <w:szCs w:val="24"/>
                <w:lang w:val="en-US" w:eastAsia="zh-CN"/>
              </w:rPr>
              <w:t>，具体</w:t>
            </w:r>
            <w:r>
              <w:rPr>
                <w:rFonts w:hint="default" w:ascii="宋体" w:hAnsi="宋体" w:eastAsia="宋体" w:cs="宋体"/>
                <w:b w:val="0"/>
                <w:bCs w:val="0"/>
                <w:color w:val="auto"/>
                <w:sz w:val="24"/>
                <w:szCs w:val="24"/>
                <w:lang w:eastAsia="zh-CN"/>
              </w:rPr>
              <w:t>监测结果见下表。</w:t>
            </w:r>
          </w:p>
          <w:p w14:paraId="67CAF29A">
            <w:pPr>
              <w:keepNext w:val="0"/>
              <w:keepLines w:val="0"/>
              <w:pageBreakBefore w:val="0"/>
              <w:widowControl/>
              <w:kinsoku/>
              <w:wordWrap/>
              <w:overflowPunct/>
              <w:topLinePunct w:val="0"/>
              <w:autoSpaceDE/>
              <w:autoSpaceDN/>
              <w:bidi w:val="0"/>
              <w:adjustRightInd/>
              <w:snapToGrid w:val="0"/>
              <w:spacing w:after="60" w:line="240" w:lineRule="auto"/>
              <w:ind w:right="113"/>
              <w:jc w:val="center"/>
              <w:textAlignment w:val="auto"/>
              <w:rPr>
                <w:rFonts w:hint="default" w:ascii="Times New Roman" w:hAnsi="Times New Roman" w:eastAsia="宋体" w:cs="Times New Roman"/>
                <w:b/>
                <w:bCs/>
                <w:color w:val="auto"/>
                <w:kern w:val="2"/>
                <w:sz w:val="24"/>
                <w:szCs w:val="24"/>
                <w:highlight w:val="none"/>
                <w:u w:val="none"/>
                <w:lang w:val="en-US" w:eastAsia="zh-CN" w:bidi="ar-SA"/>
              </w:rPr>
            </w:pPr>
            <w:r>
              <w:rPr>
                <w:rFonts w:hint="eastAsia" w:ascii="Times New Roman" w:hAnsi="Times New Roman" w:eastAsia="宋体" w:cs="Times New Roman"/>
                <w:b/>
                <w:bCs/>
                <w:color w:val="auto"/>
                <w:kern w:val="2"/>
                <w:sz w:val="24"/>
                <w:szCs w:val="24"/>
                <w:highlight w:val="none"/>
                <w:u w:val="none"/>
                <w:lang w:val="en-US" w:eastAsia="zh-CN" w:bidi="ar-SA"/>
              </w:rPr>
              <w:t>表3.</w:t>
            </w:r>
            <w:r>
              <w:rPr>
                <w:rFonts w:hint="eastAsia" w:cs="Times New Roman"/>
                <w:b/>
                <w:bCs/>
                <w:color w:val="auto"/>
                <w:kern w:val="2"/>
                <w:sz w:val="24"/>
                <w:szCs w:val="24"/>
                <w:highlight w:val="none"/>
                <w:u w:val="none"/>
                <w:lang w:val="en-US" w:eastAsia="zh-CN" w:bidi="ar-SA"/>
              </w:rPr>
              <w:t>12</w:t>
            </w:r>
            <w:r>
              <w:rPr>
                <w:rFonts w:hint="eastAsia" w:ascii="Times New Roman" w:hAnsi="Times New Roman" w:eastAsia="宋体" w:cs="Times New Roman"/>
                <w:b/>
                <w:bCs/>
                <w:color w:val="auto"/>
                <w:kern w:val="2"/>
                <w:sz w:val="24"/>
                <w:szCs w:val="24"/>
                <w:highlight w:val="none"/>
                <w:u w:val="none"/>
                <w:lang w:val="en-US" w:eastAsia="zh-CN" w:bidi="ar-SA"/>
              </w:rPr>
              <w:t xml:space="preserve">  项目所在区域声环境监测结果（单位：dB（A））</w:t>
            </w:r>
          </w:p>
          <w:tbl>
            <w:tblPr>
              <w:tblStyle w:val="10"/>
              <w:tblW w:w="8220"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306"/>
              <w:gridCol w:w="1875"/>
              <w:gridCol w:w="1457"/>
              <w:gridCol w:w="2582"/>
            </w:tblGrid>
            <w:tr w14:paraId="671E006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06" w:type="dxa"/>
                  <w:tcBorders>
                    <w:tl2br w:val="nil"/>
                    <w:tr2bl w:val="nil"/>
                  </w:tcBorders>
                  <w:noWrap w:val="0"/>
                  <w:vAlign w:val="center"/>
                </w:tcPr>
                <w:p w14:paraId="71E7A12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cs="Times New Roman"/>
                      <w:b/>
                      <w:bCs/>
                      <w:color w:val="auto"/>
                      <w:sz w:val="21"/>
                      <w:szCs w:val="21"/>
                      <w:u w:val="none"/>
                      <w:vertAlign w:val="baseline"/>
                      <w:lang w:val="en-US" w:eastAsia="zh-CN"/>
                    </w:rPr>
                  </w:pPr>
                  <w:r>
                    <w:rPr>
                      <w:rFonts w:hint="eastAsia" w:ascii="Times New Roman" w:hAnsi="Times New Roman" w:cs="Times New Roman"/>
                      <w:b/>
                      <w:bCs/>
                      <w:color w:val="auto"/>
                      <w:sz w:val="21"/>
                      <w:szCs w:val="21"/>
                      <w:u w:val="none"/>
                      <w:vertAlign w:val="baseline"/>
                      <w:lang w:val="en-US" w:eastAsia="zh-CN"/>
                    </w:rPr>
                    <w:t>监测点位</w:t>
                  </w:r>
                </w:p>
              </w:tc>
              <w:tc>
                <w:tcPr>
                  <w:tcW w:w="1875" w:type="dxa"/>
                  <w:tcBorders>
                    <w:tl2br w:val="nil"/>
                    <w:tr2bl w:val="nil"/>
                  </w:tcBorders>
                  <w:noWrap w:val="0"/>
                  <w:vAlign w:val="center"/>
                </w:tcPr>
                <w:p w14:paraId="628ACC2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b/>
                      <w:bCs/>
                      <w:color w:val="auto"/>
                      <w:sz w:val="21"/>
                      <w:szCs w:val="21"/>
                      <w:u w:val="none"/>
                      <w:vertAlign w:val="baseline"/>
                      <w:lang w:val="en-US" w:eastAsia="zh-CN"/>
                    </w:rPr>
                  </w:pPr>
                  <w:r>
                    <w:rPr>
                      <w:rFonts w:hint="eastAsia" w:ascii="Times New Roman" w:hAnsi="Times New Roman" w:cs="Times New Roman"/>
                      <w:b/>
                      <w:bCs/>
                      <w:color w:val="auto"/>
                      <w:sz w:val="21"/>
                      <w:szCs w:val="21"/>
                      <w:u w:val="none"/>
                      <w:vertAlign w:val="baseline"/>
                      <w:lang w:val="en-US" w:eastAsia="zh-CN"/>
                    </w:rPr>
                    <w:t>昼间</w:t>
                  </w:r>
                </w:p>
              </w:tc>
              <w:tc>
                <w:tcPr>
                  <w:tcW w:w="1457" w:type="dxa"/>
                  <w:tcBorders>
                    <w:tl2br w:val="nil"/>
                    <w:tr2bl w:val="nil"/>
                  </w:tcBorders>
                  <w:noWrap w:val="0"/>
                  <w:vAlign w:val="center"/>
                </w:tcPr>
                <w:p w14:paraId="6E4AFF8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cs="Times New Roman"/>
                      <w:b/>
                      <w:bCs/>
                      <w:color w:val="auto"/>
                      <w:sz w:val="21"/>
                      <w:szCs w:val="21"/>
                      <w:u w:val="none"/>
                      <w:vertAlign w:val="baseline"/>
                      <w:lang w:val="en-US" w:eastAsia="zh-CN"/>
                    </w:rPr>
                  </w:pPr>
                  <w:r>
                    <w:rPr>
                      <w:rFonts w:hint="eastAsia" w:cs="Times New Roman"/>
                      <w:b/>
                      <w:bCs/>
                      <w:color w:val="auto"/>
                      <w:sz w:val="21"/>
                      <w:szCs w:val="21"/>
                      <w:u w:val="none"/>
                      <w:vertAlign w:val="baseline"/>
                      <w:lang w:val="en-US" w:eastAsia="zh-CN"/>
                    </w:rPr>
                    <w:t>夜</w:t>
                  </w:r>
                  <w:r>
                    <w:rPr>
                      <w:rFonts w:hint="eastAsia" w:ascii="Times New Roman" w:hAnsi="Times New Roman" w:cs="Times New Roman"/>
                      <w:b/>
                      <w:bCs/>
                      <w:color w:val="auto"/>
                      <w:sz w:val="21"/>
                      <w:szCs w:val="21"/>
                      <w:u w:val="none"/>
                      <w:vertAlign w:val="baseline"/>
                      <w:lang w:val="en-US" w:eastAsia="zh-CN"/>
                    </w:rPr>
                    <w:t>间</w:t>
                  </w:r>
                </w:p>
              </w:tc>
              <w:tc>
                <w:tcPr>
                  <w:tcW w:w="2582" w:type="dxa"/>
                  <w:tcBorders>
                    <w:tl2br w:val="nil"/>
                    <w:tr2bl w:val="nil"/>
                  </w:tcBorders>
                  <w:noWrap w:val="0"/>
                  <w:vAlign w:val="center"/>
                </w:tcPr>
                <w:p w14:paraId="795752C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b/>
                      <w:bCs/>
                      <w:color w:val="auto"/>
                      <w:sz w:val="21"/>
                      <w:szCs w:val="21"/>
                      <w:u w:val="none"/>
                      <w:vertAlign w:val="baseline"/>
                      <w:lang w:val="en-US" w:eastAsia="zh-CN"/>
                    </w:rPr>
                  </w:pPr>
                  <w:r>
                    <w:rPr>
                      <w:rFonts w:hint="eastAsia" w:cs="Times New Roman"/>
                      <w:b/>
                      <w:bCs/>
                      <w:color w:val="auto"/>
                      <w:sz w:val="21"/>
                      <w:szCs w:val="21"/>
                      <w:u w:val="none"/>
                      <w:vertAlign w:val="baseline"/>
                      <w:lang w:val="en-US" w:eastAsia="zh-CN"/>
                    </w:rPr>
                    <w:t>2类标准值（</w:t>
                  </w:r>
                  <w:r>
                    <w:rPr>
                      <w:rFonts w:hint="eastAsia" w:ascii="Times New Roman" w:hAnsi="Times New Roman" w:cs="Times New Roman"/>
                      <w:b/>
                      <w:bCs/>
                      <w:color w:val="auto"/>
                      <w:sz w:val="21"/>
                      <w:szCs w:val="21"/>
                      <w:u w:val="none"/>
                      <w:vertAlign w:val="baseline"/>
                      <w:lang w:val="en-US" w:eastAsia="zh-CN"/>
                    </w:rPr>
                    <w:t>昼间</w:t>
                  </w:r>
                  <w:r>
                    <w:rPr>
                      <w:rFonts w:hint="eastAsia" w:cs="Times New Roman"/>
                      <w:b/>
                      <w:bCs/>
                      <w:color w:val="auto"/>
                      <w:sz w:val="21"/>
                      <w:szCs w:val="21"/>
                      <w:u w:val="none"/>
                      <w:vertAlign w:val="baseline"/>
                      <w:lang w:val="en-US" w:eastAsia="zh-CN"/>
                    </w:rPr>
                    <w:t>/夜间）</w:t>
                  </w:r>
                </w:p>
              </w:tc>
            </w:tr>
            <w:tr w14:paraId="145322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06" w:type="dxa"/>
                  <w:tcBorders>
                    <w:tl2br w:val="nil"/>
                    <w:tr2bl w:val="nil"/>
                  </w:tcBorders>
                  <w:shd w:val="clear" w:color="auto" w:fill="auto"/>
                  <w:noWrap w:val="0"/>
                  <w:vAlign w:val="center"/>
                </w:tcPr>
                <w:p w14:paraId="5748768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olor w:val="auto"/>
                      <w:kern w:val="2"/>
                      <w:sz w:val="21"/>
                      <w:szCs w:val="21"/>
                      <w:u w:val="none"/>
                      <w:vertAlign w:val="baseline"/>
                      <w:lang w:val="en-US" w:eastAsia="zh-CN" w:bidi="ar-SA"/>
                    </w:rPr>
                  </w:pPr>
                  <w:r>
                    <w:rPr>
                      <w:rFonts w:hint="eastAsia"/>
                      <w:color w:val="auto"/>
                      <w:sz w:val="21"/>
                      <w:szCs w:val="21"/>
                      <w:lang w:val="en-US" w:eastAsia="zh-CN"/>
                    </w:rPr>
                    <w:t>金税小区居民点</w:t>
                  </w:r>
                </w:p>
              </w:tc>
              <w:tc>
                <w:tcPr>
                  <w:tcW w:w="1875" w:type="dxa"/>
                  <w:tcBorders>
                    <w:tl2br w:val="nil"/>
                    <w:tr2bl w:val="nil"/>
                  </w:tcBorders>
                  <w:noWrap w:val="0"/>
                  <w:vAlign w:val="center"/>
                </w:tcPr>
                <w:p w14:paraId="13485B99">
                  <w:pPr>
                    <w:pStyle w:val="17"/>
                    <w:bidi w:val="0"/>
                    <w:jc w:val="center"/>
                    <w:rPr>
                      <w:rFonts w:hint="default" w:ascii="Times New Roman" w:hAnsi="Times New Roman" w:cs="Times New Roman"/>
                      <w:color w:val="auto"/>
                      <w:sz w:val="21"/>
                      <w:szCs w:val="21"/>
                      <w:u w:val="none"/>
                      <w:vertAlign w:val="baseline"/>
                      <w:lang w:val="en-US" w:eastAsia="zh-CN"/>
                    </w:rPr>
                  </w:pPr>
                  <w:r>
                    <w:rPr>
                      <w:rFonts w:hint="eastAsia"/>
                      <w:color w:val="auto"/>
                      <w:sz w:val="21"/>
                      <w:szCs w:val="21"/>
                      <w:lang w:val="en-US" w:eastAsia="zh-CN"/>
                    </w:rPr>
                    <w:t>57.2</w:t>
                  </w:r>
                </w:p>
              </w:tc>
              <w:tc>
                <w:tcPr>
                  <w:tcW w:w="1457" w:type="dxa"/>
                  <w:tcBorders>
                    <w:tl2br w:val="nil"/>
                    <w:tr2bl w:val="nil"/>
                  </w:tcBorders>
                  <w:noWrap w:val="0"/>
                  <w:vAlign w:val="center"/>
                </w:tcPr>
                <w:p w14:paraId="41F907EA">
                  <w:pPr>
                    <w:pStyle w:val="17"/>
                    <w:bidi w:val="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sz w:val="21"/>
                      <w:szCs w:val="21"/>
                      <w:lang w:val="en-US" w:eastAsia="zh-CN"/>
                    </w:rPr>
                    <w:t>48.8</w:t>
                  </w:r>
                </w:p>
              </w:tc>
              <w:tc>
                <w:tcPr>
                  <w:tcW w:w="2582" w:type="dxa"/>
                  <w:tcBorders>
                    <w:tl2br w:val="nil"/>
                    <w:tr2bl w:val="nil"/>
                  </w:tcBorders>
                  <w:noWrap w:val="0"/>
                  <w:vAlign w:val="center"/>
                </w:tcPr>
                <w:p w14:paraId="76739930">
                  <w:pPr>
                    <w:spacing w:line="240" w:lineRule="auto"/>
                    <w:ind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60/50</w:t>
                  </w:r>
                </w:p>
              </w:tc>
            </w:tr>
            <w:tr w14:paraId="09AAC9B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2306" w:type="dxa"/>
                  <w:tcBorders>
                    <w:tl2br w:val="nil"/>
                    <w:tr2bl w:val="nil"/>
                  </w:tcBorders>
                  <w:shd w:val="clear" w:color="auto" w:fill="auto"/>
                  <w:noWrap w:val="0"/>
                  <w:vAlign w:val="center"/>
                </w:tcPr>
                <w:p w14:paraId="0C1A1CD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u w:val="none"/>
                      <w:vertAlign w:val="baseline"/>
                      <w:lang w:val="en-US" w:eastAsia="zh-CN" w:bidi="ar-SA"/>
                    </w:rPr>
                  </w:pPr>
                  <w:r>
                    <w:rPr>
                      <w:rFonts w:hint="eastAsia" w:ascii="Times New Roman" w:hAnsi="Times New Roman" w:eastAsia="宋体" w:cs="Times New Roman"/>
                      <w:color w:val="auto"/>
                      <w:sz w:val="21"/>
                      <w:szCs w:val="21"/>
                      <w:u w:val="none"/>
                      <w:vertAlign w:val="baseline"/>
                      <w:lang w:val="en-US" w:eastAsia="zh-CN" w:bidi="ar-SA"/>
                    </w:rPr>
                    <w:t>融创实验学校</w:t>
                  </w:r>
                </w:p>
              </w:tc>
              <w:tc>
                <w:tcPr>
                  <w:tcW w:w="1875" w:type="dxa"/>
                  <w:tcBorders>
                    <w:tl2br w:val="nil"/>
                    <w:tr2bl w:val="nil"/>
                  </w:tcBorders>
                  <w:noWrap w:val="0"/>
                  <w:vAlign w:val="center"/>
                </w:tcPr>
                <w:p w14:paraId="2663B98D">
                  <w:pPr>
                    <w:pStyle w:val="17"/>
                    <w:bidi w:val="0"/>
                    <w:jc w:val="center"/>
                    <w:rPr>
                      <w:rFonts w:hint="default" w:ascii="Times New Roman" w:hAnsi="Times New Roman" w:cs="Times New Roman"/>
                      <w:color w:val="auto"/>
                      <w:sz w:val="21"/>
                      <w:szCs w:val="21"/>
                      <w:u w:val="none"/>
                      <w:vertAlign w:val="baseline"/>
                      <w:lang w:val="en-US" w:eastAsia="zh-CN"/>
                    </w:rPr>
                  </w:pPr>
                  <w:r>
                    <w:rPr>
                      <w:rFonts w:hint="eastAsia"/>
                      <w:color w:val="auto"/>
                      <w:sz w:val="21"/>
                      <w:szCs w:val="21"/>
                      <w:lang w:val="en-US" w:eastAsia="zh-CN"/>
                    </w:rPr>
                    <w:t>56.5</w:t>
                  </w:r>
                </w:p>
              </w:tc>
              <w:tc>
                <w:tcPr>
                  <w:tcW w:w="1457" w:type="dxa"/>
                  <w:tcBorders>
                    <w:tl2br w:val="nil"/>
                    <w:tr2bl w:val="nil"/>
                  </w:tcBorders>
                  <w:noWrap w:val="0"/>
                  <w:vAlign w:val="center"/>
                </w:tcPr>
                <w:p w14:paraId="63E8E34F">
                  <w:pPr>
                    <w:pStyle w:val="17"/>
                    <w:bidi w:val="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sz w:val="21"/>
                      <w:szCs w:val="21"/>
                      <w:lang w:val="en-US" w:eastAsia="zh-CN"/>
                    </w:rPr>
                    <w:t>48.7</w:t>
                  </w:r>
                </w:p>
              </w:tc>
              <w:tc>
                <w:tcPr>
                  <w:tcW w:w="2582" w:type="dxa"/>
                  <w:tcBorders>
                    <w:tl2br w:val="nil"/>
                    <w:tr2bl w:val="nil"/>
                  </w:tcBorders>
                  <w:noWrap w:val="0"/>
                  <w:vAlign w:val="center"/>
                </w:tcPr>
                <w:p w14:paraId="060F9B1B">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60/50</w:t>
                  </w:r>
                </w:p>
              </w:tc>
            </w:tr>
            <w:tr w14:paraId="7309BF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06" w:type="dxa"/>
                  <w:tcBorders>
                    <w:tl2br w:val="nil"/>
                    <w:tr2bl w:val="nil"/>
                  </w:tcBorders>
                  <w:shd w:val="clear" w:color="auto" w:fill="auto"/>
                  <w:noWrap w:val="0"/>
                  <w:vAlign w:val="center"/>
                </w:tcPr>
                <w:p w14:paraId="0E599B8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东城小学</w:t>
                  </w:r>
                </w:p>
              </w:tc>
              <w:tc>
                <w:tcPr>
                  <w:tcW w:w="1875" w:type="dxa"/>
                  <w:tcBorders>
                    <w:tl2br w:val="nil"/>
                    <w:tr2bl w:val="nil"/>
                  </w:tcBorders>
                  <w:noWrap w:val="0"/>
                  <w:vAlign w:val="center"/>
                </w:tcPr>
                <w:p w14:paraId="0AEDBC7D">
                  <w:pPr>
                    <w:pStyle w:val="17"/>
                    <w:bidi w:val="0"/>
                    <w:jc w:val="center"/>
                    <w:rPr>
                      <w:rFonts w:hint="default" w:ascii="Times New Roman" w:hAnsi="Times New Roman" w:cs="Times New Roman"/>
                      <w:color w:val="auto"/>
                      <w:sz w:val="21"/>
                      <w:szCs w:val="21"/>
                      <w:u w:val="none"/>
                      <w:vertAlign w:val="baseline"/>
                      <w:lang w:val="en-US" w:eastAsia="zh-CN"/>
                    </w:rPr>
                  </w:pPr>
                  <w:r>
                    <w:rPr>
                      <w:rFonts w:hint="eastAsia"/>
                      <w:color w:val="auto"/>
                      <w:sz w:val="21"/>
                      <w:szCs w:val="21"/>
                      <w:lang w:val="en-US" w:eastAsia="zh-CN"/>
                    </w:rPr>
                    <w:t>57.6</w:t>
                  </w:r>
                </w:p>
              </w:tc>
              <w:tc>
                <w:tcPr>
                  <w:tcW w:w="1457" w:type="dxa"/>
                  <w:tcBorders>
                    <w:tl2br w:val="nil"/>
                    <w:tr2bl w:val="nil"/>
                  </w:tcBorders>
                  <w:noWrap w:val="0"/>
                  <w:vAlign w:val="center"/>
                </w:tcPr>
                <w:p w14:paraId="7A58B5CB">
                  <w:pPr>
                    <w:pStyle w:val="17"/>
                    <w:bidi w:val="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sz w:val="21"/>
                      <w:szCs w:val="21"/>
                      <w:lang w:val="en-US" w:eastAsia="zh-CN"/>
                    </w:rPr>
                    <w:t>44.1</w:t>
                  </w:r>
                </w:p>
              </w:tc>
              <w:tc>
                <w:tcPr>
                  <w:tcW w:w="2582" w:type="dxa"/>
                  <w:tcBorders>
                    <w:tl2br w:val="nil"/>
                    <w:tr2bl w:val="nil"/>
                  </w:tcBorders>
                  <w:noWrap w:val="0"/>
                  <w:vAlign w:val="center"/>
                </w:tcPr>
                <w:p w14:paraId="21A782D3">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60/50</w:t>
                  </w:r>
                </w:p>
              </w:tc>
            </w:tr>
            <w:tr w14:paraId="7AD873C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06" w:type="dxa"/>
                  <w:tcBorders>
                    <w:tl2br w:val="nil"/>
                    <w:tr2bl w:val="nil"/>
                  </w:tcBorders>
                  <w:shd w:val="clear" w:color="auto" w:fill="auto"/>
                  <w:noWrap w:val="0"/>
                  <w:vAlign w:val="center"/>
                </w:tcPr>
                <w:p w14:paraId="0BD3679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郭兴小学</w:t>
                  </w:r>
                </w:p>
              </w:tc>
              <w:tc>
                <w:tcPr>
                  <w:tcW w:w="1875" w:type="dxa"/>
                  <w:tcBorders>
                    <w:tl2br w:val="nil"/>
                    <w:tr2bl w:val="nil"/>
                  </w:tcBorders>
                  <w:noWrap w:val="0"/>
                  <w:vAlign w:val="center"/>
                </w:tcPr>
                <w:p w14:paraId="597C2446">
                  <w:pPr>
                    <w:pStyle w:val="17"/>
                    <w:bidi w:val="0"/>
                    <w:jc w:val="center"/>
                    <w:rPr>
                      <w:rFonts w:hint="default" w:ascii="Times New Roman" w:hAnsi="Times New Roman" w:cs="Times New Roman"/>
                      <w:color w:val="auto"/>
                      <w:sz w:val="21"/>
                      <w:szCs w:val="21"/>
                      <w:u w:val="none"/>
                      <w:vertAlign w:val="baseline"/>
                      <w:lang w:val="en-US" w:eastAsia="zh-CN"/>
                    </w:rPr>
                  </w:pPr>
                  <w:r>
                    <w:rPr>
                      <w:rFonts w:hint="eastAsia"/>
                      <w:color w:val="auto"/>
                      <w:sz w:val="21"/>
                      <w:szCs w:val="21"/>
                      <w:lang w:val="en-US" w:eastAsia="zh-CN"/>
                    </w:rPr>
                    <w:t>56.4</w:t>
                  </w:r>
                </w:p>
              </w:tc>
              <w:tc>
                <w:tcPr>
                  <w:tcW w:w="1457" w:type="dxa"/>
                  <w:tcBorders>
                    <w:tl2br w:val="nil"/>
                    <w:tr2bl w:val="nil"/>
                  </w:tcBorders>
                  <w:noWrap w:val="0"/>
                  <w:vAlign w:val="center"/>
                </w:tcPr>
                <w:p w14:paraId="550346A3">
                  <w:pPr>
                    <w:pStyle w:val="17"/>
                    <w:bidi w:val="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sz w:val="21"/>
                      <w:szCs w:val="21"/>
                      <w:lang w:val="en-US" w:eastAsia="zh-CN"/>
                    </w:rPr>
                    <w:t>47.6</w:t>
                  </w:r>
                </w:p>
              </w:tc>
              <w:tc>
                <w:tcPr>
                  <w:tcW w:w="2582" w:type="dxa"/>
                  <w:tcBorders>
                    <w:tl2br w:val="nil"/>
                    <w:tr2bl w:val="nil"/>
                  </w:tcBorders>
                  <w:noWrap w:val="0"/>
                  <w:vAlign w:val="center"/>
                </w:tcPr>
                <w:p w14:paraId="062BFA05">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60/50</w:t>
                  </w:r>
                </w:p>
              </w:tc>
            </w:tr>
            <w:tr w14:paraId="74EA18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06" w:type="dxa"/>
                  <w:tcBorders>
                    <w:tl2br w:val="nil"/>
                    <w:tr2bl w:val="nil"/>
                  </w:tcBorders>
                  <w:shd w:val="clear" w:color="auto" w:fill="auto"/>
                  <w:noWrap w:val="0"/>
                  <w:vAlign w:val="center"/>
                </w:tcPr>
                <w:p w14:paraId="6A43CC7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lang w:val="en-US" w:eastAsia="zh-CN" w:bidi="ar-SA"/>
                    </w:rPr>
                  </w:pPr>
                  <w:r>
                    <w:rPr>
                      <w:rFonts w:hint="eastAsia"/>
                      <w:color w:val="auto"/>
                      <w:sz w:val="21"/>
                      <w:szCs w:val="21"/>
                      <w:lang w:val="en-US" w:eastAsia="zh-CN"/>
                    </w:rPr>
                    <w:t>王家新屋村</w:t>
                  </w:r>
                </w:p>
              </w:tc>
              <w:tc>
                <w:tcPr>
                  <w:tcW w:w="1875" w:type="dxa"/>
                  <w:tcBorders>
                    <w:tl2br w:val="nil"/>
                    <w:tr2bl w:val="nil"/>
                  </w:tcBorders>
                  <w:noWrap w:val="0"/>
                  <w:vAlign w:val="center"/>
                </w:tcPr>
                <w:p w14:paraId="4620FEB8">
                  <w:pPr>
                    <w:pStyle w:val="17"/>
                    <w:bidi w:val="0"/>
                    <w:jc w:val="center"/>
                    <w:rPr>
                      <w:rFonts w:hint="eastAsia" w:ascii="Times New Roman" w:hAnsi="Times New Roman" w:cs="Times New Roman"/>
                      <w:color w:val="auto"/>
                      <w:sz w:val="21"/>
                      <w:szCs w:val="21"/>
                      <w:u w:val="none"/>
                      <w:vertAlign w:val="baseline"/>
                      <w:lang w:val="en-US" w:eastAsia="zh-CN"/>
                    </w:rPr>
                  </w:pPr>
                  <w:r>
                    <w:rPr>
                      <w:rFonts w:hint="eastAsia"/>
                      <w:color w:val="auto"/>
                      <w:sz w:val="21"/>
                      <w:szCs w:val="21"/>
                      <w:lang w:val="en-US" w:eastAsia="zh-CN"/>
                    </w:rPr>
                    <w:t>52.6</w:t>
                  </w:r>
                </w:p>
              </w:tc>
              <w:tc>
                <w:tcPr>
                  <w:tcW w:w="1457" w:type="dxa"/>
                  <w:tcBorders>
                    <w:tl2br w:val="nil"/>
                    <w:tr2bl w:val="nil"/>
                  </w:tcBorders>
                  <w:noWrap w:val="0"/>
                  <w:vAlign w:val="center"/>
                </w:tcPr>
                <w:p w14:paraId="7B2B86DB">
                  <w:pPr>
                    <w:pStyle w:val="17"/>
                    <w:bidi w:val="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sz w:val="21"/>
                      <w:szCs w:val="21"/>
                      <w:lang w:val="en-US" w:eastAsia="zh-CN"/>
                    </w:rPr>
                    <w:t>46.4</w:t>
                  </w:r>
                </w:p>
              </w:tc>
              <w:tc>
                <w:tcPr>
                  <w:tcW w:w="2582" w:type="dxa"/>
                  <w:tcBorders>
                    <w:tl2br w:val="nil"/>
                    <w:tr2bl w:val="nil"/>
                  </w:tcBorders>
                  <w:noWrap w:val="0"/>
                  <w:vAlign w:val="center"/>
                </w:tcPr>
                <w:p w14:paraId="5F47A8DF">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60/50</w:t>
                  </w:r>
                </w:p>
              </w:tc>
            </w:tr>
            <w:tr w14:paraId="0DB7E2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06" w:type="dxa"/>
                  <w:tcBorders>
                    <w:tl2br w:val="nil"/>
                    <w:tr2bl w:val="nil"/>
                  </w:tcBorders>
                  <w:shd w:val="clear" w:color="auto" w:fill="auto"/>
                  <w:noWrap w:val="0"/>
                  <w:vAlign w:val="center"/>
                </w:tcPr>
                <w:p w14:paraId="56BF3AF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olor w:val="auto"/>
                      <w:sz w:val="21"/>
                      <w:szCs w:val="21"/>
                      <w:lang w:val="en-US" w:eastAsia="zh-CN"/>
                    </w:rPr>
                  </w:pPr>
                  <w:r>
                    <w:rPr>
                      <w:rFonts w:hint="eastAsia"/>
                      <w:color w:val="auto"/>
                      <w:sz w:val="21"/>
                      <w:szCs w:val="21"/>
                      <w:lang w:val="en-US" w:eastAsia="zh-CN"/>
                    </w:rPr>
                    <w:t>杨埠村</w:t>
                  </w:r>
                </w:p>
              </w:tc>
              <w:tc>
                <w:tcPr>
                  <w:tcW w:w="1875" w:type="dxa"/>
                  <w:tcBorders>
                    <w:tl2br w:val="nil"/>
                    <w:tr2bl w:val="nil"/>
                  </w:tcBorders>
                  <w:noWrap w:val="0"/>
                  <w:vAlign w:val="center"/>
                </w:tcPr>
                <w:p w14:paraId="02404D36">
                  <w:pPr>
                    <w:pStyle w:val="17"/>
                    <w:bidi w:val="0"/>
                    <w:jc w:val="center"/>
                    <w:rPr>
                      <w:rFonts w:hint="default"/>
                      <w:color w:val="auto"/>
                      <w:sz w:val="21"/>
                      <w:szCs w:val="21"/>
                      <w:lang w:val="en-US" w:eastAsia="zh-CN"/>
                    </w:rPr>
                  </w:pPr>
                  <w:r>
                    <w:rPr>
                      <w:rFonts w:hint="eastAsia"/>
                      <w:color w:val="auto"/>
                      <w:sz w:val="21"/>
                      <w:szCs w:val="21"/>
                      <w:lang w:val="en-US" w:eastAsia="zh-CN"/>
                    </w:rPr>
                    <w:t>50.5</w:t>
                  </w:r>
                </w:p>
              </w:tc>
              <w:tc>
                <w:tcPr>
                  <w:tcW w:w="1457" w:type="dxa"/>
                  <w:tcBorders>
                    <w:tl2br w:val="nil"/>
                    <w:tr2bl w:val="nil"/>
                  </w:tcBorders>
                  <w:noWrap w:val="0"/>
                  <w:vAlign w:val="center"/>
                </w:tcPr>
                <w:p w14:paraId="6B1FD4C9">
                  <w:pPr>
                    <w:pStyle w:val="17"/>
                    <w:bidi w:val="0"/>
                    <w:jc w:val="center"/>
                    <w:rPr>
                      <w:rFonts w:hint="default"/>
                      <w:color w:val="auto"/>
                      <w:sz w:val="21"/>
                      <w:szCs w:val="21"/>
                      <w:lang w:val="en-US" w:eastAsia="zh-CN"/>
                    </w:rPr>
                  </w:pPr>
                  <w:r>
                    <w:rPr>
                      <w:rFonts w:hint="eastAsia"/>
                      <w:color w:val="auto"/>
                      <w:sz w:val="21"/>
                      <w:szCs w:val="21"/>
                      <w:lang w:val="en-US" w:eastAsia="zh-CN"/>
                    </w:rPr>
                    <w:t>41.6</w:t>
                  </w:r>
                </w:p>
              </w:tc>
              <w:tc>
                <w:tcPr>
                  <w:tcW w:w="2582" w:type="dxa"/>
                  <w:tcBorders>
                    <w:tl2br w:val="nil"/>
                    <w:tr2bl w:val="nil"/>
                  </w:tcBorders>
                  <w:noWrap w:val="0"/>
                  <w:vAlign w:val="center"/>
                </w:tcPr>
                <w:p w14:paraId="47B90A37">
                  <w:pPr>
                    <w:spacing w:line="240" w:lineRule="auto"/>
                    <w:ind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60/50</w:t>
                  </w:r>
                </w:p>
              </w:tc>
            </w:tr>
          </w:tbl>
          <w:p w14:paraId="1D58242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宋体" w:hAnsi="宋体" w:eastAsia="宋体" w:cs="宋体"/>
                <w:b w:val="0"/>
                <w:bCs w:val="0"/>
                <w:color w:val="FF0000"/>
                <w:sz w:val="24"/>
                <w:szCs w:val="24"/>
                <w:lang w:val="en-US" w:eastAsia="zh-CN"/>
              </w:rPr>
            </w:pPr>
          </w:p>
          <w:p w14:paraId="0FF4D28D">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left"/>
              <w:textAlignment w:val="auto"/>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4、土壤环境质量现状</w:t>
            </w:r>
          </w:p>
          <w:p w14:paraId="378AA653">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auto"/>
                <w:sz w:val="24"/>
                <w:szCs w:val="24"/>
                <w:lang w:eastAsia="zh-CN"/>
              </w:rPr>
            </w:pPr>
            <w:r>
              <w:rPr>
                <w:rFonts w:hint="default" w:ascii="宋体" w:hAnsi="宋体" w:eastAsia="宋体" w:cs="宋体"/>
                <w:color w:val="auto"/>
                <w:sz w:val="24"/>
                <w:szCs w:val="24"/>
                <w:lang w:val="en-US" w:eastAsia="zh-CN"/>
              </w:rPr>
              <w:t>岳阳楼区土壤环境质量整体良好。区域地处洞庭湖平原，土壤以第四纪红壤、潮土为主，质地疏松肥沃，pH值介于6.5–7.5之间，有机质与养分含量适中，适宜植被生长与农业耕作。区内农用地以水田、旱地为主，耕地质量整体较好，无明显土壤盐渍化、酸化与重度污染现象；建设用地及河湖滩涂区域土壤环境稳定，未出现重金属超标及有机污染等突出问题。区域土壤生态功能保持完好，能够支撑林地、耕地、湿地等生态系统稳定运行，土壤环境质量符合相应功能区划要求，满足生态保护与可持续利用需求。</w:t>
            </w:r>
          </w:p>
          <w:p w14:paraId="072F310B">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left"/>
              <w:textAlignment w:val="auto"/>
              <w:rPr>
                <w:rFonts w:hint="eastAsia" w:ascii="宋体" w:hAnsi="宋体" w:eastAsia="宋体" w:cs="宋体"/>
                <w:b/>
                <w:bCs/>
                <w:color w:val="auto"/>
                <w:sz w:val="24"/>
                <w:szCs w:val="24"/>
                <w:lang w:val="en-US" w:eastAsia="zh-CN"/>
              </w:rPr>
            </w:pPr>
            <w:r>
              <w:rPr>
                <w:rFonts w:hint="eastAsia" w:ascii="宋体" w:hAnsi="宋体" w:eastAsia="宋体" w:cs="宋体"/>
                <w:b/>
                <w:bCs/>
                <w:color w:val="auto"/>
                <w:sz w:val="24"/>
                <w:szCs w:val="24"/>
                <w:lang w:val="en-US" w:eastAsia="zh-CN"/>
              </w:rPr>
              <w:t>5、地下水环境质量现状</w:t>
            </w:r>
          </w:p>
          <w:p w14:paraId="64527CBC">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ascii="宋体" w:hAnsi="宋体" w:cs="宋体"/>
                <w:color w:val="FF0000"/>
                <w:kern w:val="0"/>
                <w:sz w:val="24"/>
                <w:szCs w:val="24"/>
                <w:lang w:val="en-US" w:eastAsia="zh-CN"/>
              </w:rPr>
            </w:pPr>
            <w:r>
              <w:rPr>
                <w:rFonts w:hint="default" w:ascii="宋体" w:hAnsi="宋体" w:eastAsia="宋体" w:cs="宋体"/>
                <w:color w:val="auto"/>
                <w:sz w:val="24"/>
                <w:szCs w:val="24"/>
                <w:lang w:val="en-US" w:eastAsia="zh-CN"/>
              </w:rPr>
              <w:t>岳阳楼区地处洞庭湖冲积平原，区域地下水类型以松散岩类孔隙水为主，补给条件良好，水位动态相对稳定，主要受大气降水与洞庭湖水体侧向补给，水文地质条件简单。依据《地下水质量标准》（GB/T 14848-2017）及区域环境现状调查资料，评价区内地下水环境质量总体良好，水质以Ⅲ类为主，pH值适中，常规指标均满足对应功能区水质要求，无重金属超标、氨氮、硝酸盐氮及有机物污染等突出问题；区域无集中式地下水饮用水源地及其他地下水环境敏感目标，地下水环境整体清洁、稳定，未受明显人为污染干扰，能够满足区域生态保护、农业灌溉及人居环境安全等功能需求，地下水环境质量现状符合生态保护与可持续利用要求。</w:t>
            </w:r>
          </w:p>
        </w:tc>
      </w:tr>
      <w:tr w14:paraId="715E7D7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15" w:type="dxa"/>
            <w:vAlign w:val="center"/>
          </w:tcPr>
          <w:p w14:paraId="79052C8E">
            <w:pPr>
              <w:adjustRightInd w:val="0"/>
              <w:snapToGrid w:val="0"/>
              <w:jc w:val="center"/>
              <w:rPr>
                <w:rFonts w:hint="eastAsia" w:ascii="宋体" w:hAnsi="宋体" w:eastAsia="宋体" w:cs="宋体"/>
                <w:color w:val="auto"/>
                <w:kern w:val="0"/>
                <w:sz w:val="24"/>
                <w:szCs w:val="24"/>
                <w:lang w:val="en-US" w:eastAsia="zh-CN"/>
              </w:rPr>
            </w:pPr>
            <w:r>
              <w:rPr>
                <w:rFonts w:hint="eastAsia" w:ascii="宋体" w:hAnsi="宋体" w:cs="宋体"/>
                <w:color w:val="auto"/>
                <w:kern w:val="0"/>
                <w:sz w:val="24"/>
                <w:szCs w:val="24"/>
                <w:lang w:val="en-US" w:eastAsia="zh-CN"/>
              </w:rPr>
              <w:t>与项目有关的原有环境污染和生态破坏问题</w:t>
            </w:r>
          </w:p>
        </w:tc>
        <w:tc>
          <w:tcPr>
            <w:tcW w:w="8475" w:type="dxa"/>
            <w:vAlign w:val="center"/>
          </w:tcPr>
          <w:p w14:paraId="477BE78F">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480" w:firstLineChars="200"/>
              <w:jc w:val="left"/>
              <w:textAlignment w:val="auto"/>
              <w:rPr>
                <w:rFonts w:hint="eastAsia" w:ascii="宋体" w:hAnsi="宋体" w:eastAsia="宋体" w:cs="宋体"/>
                <w:b w:val="0"/>
                <w:bCs w:val="0"/>
                <w:color w:val="auto"/>
                <w:sz w:val="24"/>
                <w:szCs w:val="24"/>
                <w:lang w:eastAsia="zh-CN"/>
              </w:rPr>
            </w:pPr>
            <w:r>
              <w:rPr>
                <w:rFonts w:hint="eastAsia" w:ascii="宋体" w:hAnsi="宋体" w:eastAsia="宋体" w:cs="宋体"/>
                <w:b w:val="0"/>
                <w:bCs w:val="0"/>
                <w:color w:val="auto"/>
                <w:sz w:val="24"/>
                <w:szCs w:val="24"/>
                <w:lang w:eastAsia="zh-CN"/>
              </w:rPr>
              <w:t>1、项目概况</w:t>
            </w:r>
          </w:p>
          <w:p w14:paraId="05298D4E">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480" w:firstLineChars="200"/>
              <w:jc w:val="left"/>
              <w:textAlignment w:val="auto"/>
              <w:rPr>
                <w:rFonts w:hint="eastAsia" w:ascii="宋体" w:hAnsi="宋体" w:eastAsia="宋体" w:cs="宋体"/>
                <w:b w:val="0"/>
                <w:bCs w:val="0"/>
                <w:color w:val="auto"/>
                <w:sz w:val="24"/>
                <w:szCs w:val="24"/>
                <w:lang w:eastAsia="zh-CN"/>
              </w:rPr>
            </w:pPr>
            <w:r>
              <w:rPr>
                <w:rFonts w:hint="eastAsia" w:ascii="宋体" w:hAnsi="宋体" w:eastAsia="宋体" w:cs="宋体"/>
                <w:b w:val="0"/>
                <w:bCs w:val="0"/>
                <w:color w:val="auto"/>
                <w:sz w:val="24"/>
                <w:szCs w:val="24"/>
                <w:lang w:eastAsia="zh-CN"/>
              </w:rPr>
              <w:t>本项目属于改建项目，旨在解决岳阳楼区因现有排水管网系统不完善、设施老化、淤堵及局部塌陷等导致的城市内涝及渍水问题。根据现场调查及相关资料，项目区域主要存在以下原有环境问题：一是现状排水管道因建设年代久远，存在管径偏小、管道塌陷（如洛王新天地小区北侧DN2600管道塌陷约10m）、淤积堵塞（需清淤总长约1350m）等现象，导致区域排水能力下降，暴雨期间多处低洼地带（如琵琶王立交桥、万家垅等10处积涝点）积水严重，积水深度可达</w:t>
            </w:r>
            <w:r>
              <w:rPr>
                <w:rFonts w:hint="default" w:ascii="Times New Roman" w:hAnsi="Times New Roman" w:eastAsia="宋体" w:cs="Times New Roman"/>
                <w:b w:val="0"/>
                <w:bCs w:val="0"/>
                <w:color w:val="auto"/>
                <w:sz w:val="24"/>
                <w:szCs w:val="24"/>
                <w:lang w:eastAsia="zh-CN"/>
              </w:rPr>
              <w:t>2~3</w:t>
            </w:r>
            <w:r>
              <w:rPr>
                <w:rFonts w:hint="eastAsia" w:ascii="宋体" w:hAnsi="宋体" w:eastAsia="宋体" w:cs="宋体"/>
                <w:b w:val="0"/>
                <w:bCs w:val="0"/>
                <w:color w:val="auto"/>
                <w:sz w:val="24"/>
                <w:szCs w:val="24"/>
                <w:lang w:eastAsia="zh-CN"/>
              </w:rPr>
              <w:t>m，对居民生命财产安全和正常生活秩序造成严重影响；二是部分区域排水沟渠及盖板沟破损、缺失（如夏万路、陈家巷等），造成排水不畅及路面反复积水。</w:t>
            </w:r>
          </w:p>
          <w:p w14:paraId="46E0D1A6">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480" w:firstLineChars="200"/>
              <w:jc w:val="left"/>
              <w:textAlignment w:val="auto"/>
              <w:rPr>
                <w:rFonts w:hint="eastAsia" w:ascii="宋体" w:hAnsi="宋体" w:eastAsia="宋体" w:cs="宋体"/>
                <w:b w:val="0"/>
                <w:bCs w:val="0"/>
                <w:color w:val="auto"/>
                <w:sz w:val="24"/>
                <w:szCs w:val="24"/>
                <w:lang w:eastAsia="zh-CN"/>
              </w:rPr>
            </w:pPr>
            <w:r>
              <w:rPr>
                <w:rFonts w:hint="eastAsia" w:ascii="宋体" w:hAnsi="宋体" w:eastAsia="宋体" w:cs="宋体"/>
                <w:b w:val="0"/>
                <w:bCs w:val="0"/>
                <w:color w:val="auto"/>
                <w:sz w:val="24"/>
                <w:szCs w:val="24"/>
                <w:lang w:eastAsia="zh-CN"/>
              </w:rPr>
              <w:t>2、存在问题</w:t>
            </w:r>
          </w:p>
          <w:p w14:paraId="6F232BF4">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480" w:firstLineChars="200"/>
              <w:jc w:val="left"/>
              <w:textAlignment w:val="auto"/>
              <w:rPr>
                <w:rFonts w:hint="eastAsia" w:ascii="宋体" w:hAnsi="宋体" w:eastAsia="宋体" w:cs="宋体"/>
                <w:b w:val="0"/>
                <w:bCs w:val="0"/>
                <w:color w:val="auto"/>
                <w:sz w:val="24"/>
                <w:szCs w:val="24"/>
                <w:lang w:eastAsia="zh-CN"/>
              </w:rPr>
            </w:pPr>
            <w:r>
              <w:rPr>
                <w:rFonts w:hint="eastAsia" w:ascii="宋体" w:hAnsi="宋体" w:eastAsia="宋体" w:cs="宋体"/>
                <w:b w:val="0"/>
                <w:bCs w:val="0"/>
                <w:color w:val="auto"/>
                <w:sz w:val="24"/>
                <w:szCs w:val="24"/>
                <w:lang w:eastAsia="zh-CN"/>
              </w:rPr>
              <w:t>除上述内涝安全隐患外，项目区未发现因原有工程引发的土壤污染、地下水污染、危险废物堆存、生态破坏等其他突出环境问题，亦无遗留的环境污染纠纷或环保投诉集中问题。本次建设内容中的管网新建、清淤及沟渠修复等措施，本身就是对现有排水环境问题的“以新带老”整改，旨在系统解决城市内涝及渍水等环境问题。</w:t>
            </w:r>
          </w:p>
          <w:p w14:paraId="52BAA713">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0" w:leftChars="0" w:firstLine="480" w:firstLineChars="200"/>
              <w:jc w:val="left"/>
              <w:textAlignment w:val="auto"/>
              <w:rPr>
                <w:rFonts w:hint="default" w:ascii="宋体" w:hAnsi="宋体" w:eastAsia="宋体" w:cs="宋体"/>
                <w:b w:val="0"/>
                <w:bCs w:val="0"/>
                <w:color w:val="auto"/>
                <w:sz w:val="24"/>
                <w:szCs w:val="24"/>
                <w:lang w:val="en-US" w:eastAsia="zh-CN"/>
              </w:rPr>
            </w:pPr>
            <w:r>
              <w:rPr>
                <w:rFonts w:hint="default" w:ascii="宋体" w:hAnsi="宋体" w:eastAsia="宋体" w:cs="宋体"/>
                <w:b w:val="0"/>
                <w:bCs w:val="0"/>
                <w:color w:val="auto"/>
                <w:sz w:val="24"/>
                <w:szCs w:val="24"/>
                <w:highlight w:val="none"/>
                <w:lang w:val="en-US" w:eastAsia="zh-CN"/>
              </w:rPr>
              <w:t>本项目清淤对象为城市雨水管网、排水管涵及沟渠，疏浚污泥属于城市疏浚污泥。依据《湖南省市政排水管网清淤技术标准》（DB43/T 2025）、《湖南省城镇市政污泥运输和处置标准》（DBJ43/T 514-2020）及岳阳市城市疏浚污泥管理相关要求，清淤前已对管网底泥进行监测，结果满足《土壤环境质量 农用地土壤污染风险管控标准（试行）》（GB 15618-2018）筛选值要求，属于一般工业固体废物，不属于危险废物，可按一般固废进行规范化管理与处置。</w:t>
            </w:r>
          </w:p>
        </w:tc>
      </w:tr>
      <w:tr w14:paraId="75B4E44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15" w:type="dxa"/>
            <w:vAlign w:val="center"/>
          </w:tcPr>
          <w:p w14:paraId="35EADA6B">
            <w:pPr>
              <w:adjustRightInd w:val="0"/>
              <w:snapToGrid w:val="0"/>
              <w:jc w:val="center"/>
              <w:rPr>
                <w:rFonts w:hint="eastAsia" w:ascii="宋体" w:hAnsi="宋体" w:cs="宋体"/>
                <w:color w:val="auto"/>
                <w:kern w:val="0"/>
                <w:sz w:val="24"/>
                <w:szCs w:val="24"/>
              </w:rPr>
            </w:pPr>
            <w:r>
              <w:rPr>
                <w:rFonts w:hint="eastAsia" w:ascii="宋体" w:hAnsi="宋体" w:cs="宋体"/>
                <w:color w:val="auto"/>
                <w:kern w:val="0"/>
                <w:sz w:val="24"/>
                <w:szCs w:val="24"/>
                <w:lang w:eastAsia="zh-CN"/>
              </w:rPr>
              <w:t>生态</w:t>
            </w:r>
            <w:r>
              <w:rPr>
                <w:rFonts w:hint="eastAsia" w:ascii="宋体" w:hAnsi="宋体" w:cs="宋体"/>
                <w:color w:val="auto"/>
                <w:kern w:val="0"/>
                <w:sz w:val="24"/>
                <w:szCs w:val="24"/>
              </w:rPr>
              <w:t>环境</w:t>
            </w:r>
          </w:p>
          <w:p w14:paraId="1E92FC98">
            <w:pPr>
              <w:adjustRightInd w:val="0"/>
              <w:snapToGrid w:val="0"/>
              <w:jc w:val="center"/>
              <w:rPr>
                <w:rFonts w:hint="eastAsia" w:ascii="宋体" w:hAnsi="宋体" w:cs="宋体"/>
                <w:color w:val="auto"/>
                <w:kern w:val="0"/>
                <w:sz w:val="24"/>
                <w:szCs w:val="24"/>
              </w:rPr>
            </w:pPr>
            <w:r>
              <w:rPr>
                <w:rFonts w:hint="eastAsia" w:ascii="宋体" w:hAnsi="宋体" w:cs="宋体"/>
                <w:color w:val="auto"/>
                <w:kern w:val="0"/>
                <w:sz w:val="24"/>
                <w:szCs w:val="24"/>
              </w:rPr>
              <w:t>保护</w:t>
            </w:r>
          </w:p>
          <w:p w14:paraId="7F63B806">
            <w:pPr>
              <w:adjustRightInd w:val="0"/>
              <w:snapToGrid w:val="0"/>
              <w:jc w:val="center"/>
              <w:rPr>
                <w:rFonts w:hint="eastAsia" w:ascii="宋体" w:hAnsi="宋体" w:cs="宋体"/>
                <w:color w:val="auto"/>
                <w:kern w:val="0"/>
                <w:sz w:val="24"/>
                <w:szCs w:val="24"/>
              </w:rPr>
            </w:pPr>
            <w:r>
              <w:rPr>
                <w:rFonts w:hint="eastAsia" w:ascii="宋体" w:hAnsi="宋体" w:cs="宋体"/>
                <w:color w:val="auto"/>
                <w:kern w:val="0"/>
                <w:sz w:val="24"/>
                <w:szCs w:val="24"/>
              </w:rPr>
              <w:t>目标</w:t>
            </w:r>
          </w:p>
        </w:tc>
        <w:tc>
          <w:tcPr>
            <w:tcW w:w="8475" w:type="dxa"/>
            <w:vAlign w:val="center"/>
          </w:tcPr>
          <w:p w14:paraId="47F9CB3A">
            <w:pPr>
              <w:pStyle w:val="3"/>
              <w:keepNext/>
              <w:keepLines/>
              <w:pageBreakBefore w:val="0"/>
              <w:widowControl w:val="0"/>
              <w:kinsoku/>
              <w:wordWrap/>
              <w:overflowPunct/>
              <w:topLinePunct w:val="0"/>
              <w:autoSpaceDE/>
              <w:autoSpaceDN/>
              <w:bidi w:val="0"/>
              <w:adjustRightInd/>
              <w:snapToGrid/>
              <w:ind w:firstLine="482" w:firstLineChars="200"/>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1、主体工程及配套工程保护目标</w:t>
            </w:r>
          </w:p>
          <w:p w14:paraId="77F6D1A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宋体" w:hAnsi="宋体" w:eastAsia="宋体" w:cs="宋体"/>
                <w:b w:val="0"/>
                <w:bCs w:val="0"/>
                <w:color w:val="auto"/>
                <w:sz w:val="24"/>
                <w:szCs w:val="24"/>
                <w:lang w:eastAsia="zh-CN"/>
              </w:rPr>
            </w:pPr>
            <w:r>
              <w:rPr>
                <w:rFonts w:hint="default" w:ascii="宋体" w:hAnsi="宋体" w:eastAsia="宋体" w:cs="宋体"/>
                <w:b w:val="0"/>
                <w:bCs w:val="0"/>
                <w:color w:val="auto"/>
                <w:sz w:val="24"/>
                <w:szCs w:val="24"/>
                <w:lang w:eastAsia="zh-CN"/>
              </w:rPr>
              <w:t>生态环境保护目标主要为项目沿线500m范围内居民区、学校等，目标均为居住、文教功能区，保护目标为大气、声环境、生态环境，项目不穿越、不占压环境敏感区</w:t>
            </w:r>
            <w:r>
              <w:rPr>
                <w:rFonts w:hint="eastAsia" w:ascii="宋体" w:hAnsi="宋体" w:cs="宋体"/>
                <w:b w:val="0"/>
                <w:bCs w:val="0"/>
                <w:color w:val="auto"/>
                <w:sz w:val="24"/>
                <w:szCs w:val="24"/>
                <w:lang w:val="en-US" w:eastAsia="zh-CN"/>
              </w:rPr>
              <w:t>。</w:t>
            </w:r>
            <w:r>
              <w:rPr>
                <w:rFonts w:hint="default" w:ascii="宋体" w:hAnsi="宋体" w:eastAsia="宋体" w:cs="宋体"/>
                <w:b w:val="0"/>
                <w:bCs w:val="0"/>
                <w:color w:val="auto"/>
                <w:sz w:val="24"/>
                <w:szCs w:val="24"/>
                <w:lang w:eastAsia="zh-CN"/>
              </w:rPr>
              <w:t>本次主体工程的保护目标</w:t>
            </w:r>
            <w:r>
              <w:rPr>
                <w:rFonts w:hint="eastAsia" w:ascii="宋体" w:hAnsi="宋体" w:cs="宋体"/>
                <w:b w:val="0"/>
                <w:bCs w:val="0"/>
                <w:color w:val="auto"/>
                <w:sz w:val="24"/>
                <w:szCs w:val="24"/>
                <w:lang w:eastAsia="zh-CN"/>
              </w:rPr>
              <w:t>如下</w:t>
            </w:r>
            <w:r>
              <w:rPr>
                <w:rFonts w:hint="default" w:ascii="宋体" w:hAnsi="宋体" w:eastAsia="宋体" w:cs="宋体"/>
                <w:b w:val="0"/>
                <w:bCs w:val="0"/>
                <w:color w:val="auto"/>
                <w:sz w:val="24"/>
                <w:szCs w:val="24"/>
                <w:lang w:eastAsia="zh-CN"/>
              </w:rPr>
              <w:t>。</w:t>
            </w:r>
          </w:p>
          <w:p w14:paraId="11BDEF2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cs="宋体"/>
                <w:b/>
                <w:bCs/>
                <w:color w:val="auto"/>
                <w:sz w:val="24"/>
                <w:szCs w:val="24"/>
                <w:lang w:val="en-US" w:eastAsia="zh-CN"/>
              </w:rPr>
            </w:pPr>
            <w:r>
              <w:rPr>
                <w:rFonts w:hint="eastAsia" w:ascii="宋体" w:hAnsi="宋体" w:cs="宋体"/>
                <w:b/>
                <w:bCs/>
                <w:color w:val="auto"/>
                <w:sz w:val="24"/>
                <w:szCs w:val="24"/>
                <w:lang w:val="en-US" w:eastAsia="zh-CN"/>
              </w:rPr>
              <w:t>表3.13  主体工程环境保护目标一览表</w:t>
            </w:r>
          </w:p>
          <w:tbl>
            <w:tblPr>
              <w:tblStyle w:val="9"/>
              <w:tblW w:w="8220"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1137"/>
              <w:gridCol w:w="980"/>
              <w:gridCol w:w="1576"/>
              <w:gridCol w:w="1427"/>
              <w:gridCol w:w="1383"/>
              <w:gridCol w:w="1717"/>
            </w:tblGrid>
            <w:tr w14:paraId="5FC3666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tcBorders>
                    <w:tl2br w:val="nil"/>
                    <w:tr2bl w:val="nil"/>
                  </w:tcBorders>
                  <w:shd w:val="clear" w:color="auto" w:fill="FFFFFF"/>
                  <w:vAlign w:val="center"/>
                </w:tcPr>
                <w:p w14:paraId="3845E079">
                  <w:pPr>
                    <w:keepNext w:val="0"/>
                    <w:keepLines w:val="0"/>
                    <w:widowControl/>
                    <w:suppressLineNumbers w:val="0"/>
                    <w:jc w:val="left"/>
                    <w:textAlignment w:val="center"/>
                    <w:rPr>
                      <w:rFonts w:ascii="var(--dsw-font-markdown-table-h" w:hAnsi="var(--dsw-font-markdown-table-h" w:eastAsia="var(--dsw-font-markdown-table-h" w:cs="var(--dsw-font-markdown-table-h"/>
                      <w:b/>
                      <w:bCs/>
                      <w:i w:val="0"/>
                      <w:iCs w:val="0"/>
                      <w:color w:val="auto"/>
                      <w:sz w:val="24"/>
                      <w:szCs w:val="24"/>
                      <w:u w:val="none"/>
                    </w:rPr>
                  </w:pPr>
                  <w:r>
                    <w:rPr>
                      <w:rFonts w:hint="default" w:ascii="var(--dsw-font-markdown-table-h" w:hAnsi="var(--dsw-font-markdown-table-h" w:eastAsia="var(--dsw-font-markdown-table-h" w:cs="var(--dsw-font-markdown-table-h"/>
                      <w:b/>
                      <w:bCs/>
                      <w:i w:val="0"/>
                      <w:iCs w:val="0"/>
                      <w:color w:val="auto"/>
                      <w:kern w:val="0"/>
                      <w:sz w:val="24"/>
                      <w:szCs w:val="24"/>
                      <w:u w:val="none"/>
                      <w:lang w:val="en-US" w:eastAsia="zh-CN" w:bidi="ar"/>
                    </w:rPr>
                    <w:t>环境要素</w:t>
                  </w:r>
                </w:p>
              </w:tc>
              <w:tc>
                <w:tcPr>
                  <w:tcW w:w="980" w:type="dxa"/>
                  <w:tcBorders>
                    <w:tl2br w:val="nil"/>
                    <w:tr2bl w:val="nil"/>
                  </w:tcBorders>
                  <w:shd w:val="clear" w:color="auto" w:fill="FFFFFF"/>
                  <w:vAlign w:val="center"/>
                </w:tcPr>
                <w:p w14:paraId="7CD20B0D">
                  <w:pPr>
                    <w:keepNext w:val="0"/>
                    <w:keepLines w:val="0"/>
                    <w:widowControl/>
                    <w:suppressLineNumbers w:val="0"/>
                    <w:jc w:val="center"/>
                    <w:textAlignment w:val="center"/>
                    <w:rPr>
                      <w:rFonts w:hint="default" w:ascii="var(--dsw-font-markdown-table-h" w:hAnsi="var(--dsw-font-markdown-table-h" w:eastAsia="var(--dsw-font-markdown-table-h" w:cs="var(--dsw-font-markdown-table-h"/>
                      <w:b/>
                      <w:bCs/>
                      <w:i w:val="0"/>
                      <w:iCs w:val="0"/>
                      <w:color w:val="auto"/>
                      <w:sz w:val="24"/>
                      <w:szCs w:val="24"/>
                      <w:u w:val="none"/>
                    </w:rPr>
                  </w:pPr>
                  <w:r>
                    <w:rPr>
                      <w:rFonts w:hint="default" w:ascii="var(--dsw-font-markdown-table-h" w:hAnsi="var(--dsw-font-markdown-table-h" w:eastAsia="var(--dsw-font-markdown-table-h" w:cs="var(--dsw-font-markdown-table-h"/>
                      <w:b/>
                      <w:bCs/>
                      <w:i w:val="0"/>
                      <w:iCs w:val="0"/>
                      <w:color w:val="auto"/>
                      <w:kern w:val="0"/>
                      <w:sz w:val="24"/>
                      <w:szCs w:val="24"/>
                      <w:u w:val="none"/>
                      <w:lang w:val="en-US" w:eastAsia="zh-CN" w:bidi="ar"/>
                    </w:rPr>
                    <w:t>保护目标名称</w:t>
                  </w:r>
                </w:p>
              </w:tc>
              <w:tc>
                <w:tcPr>
                  <w:tcW w:w="1576" w:type="dxa"/>
                  <w:tcBorders>
                    <w:tl2br w:val="nil"/>
                    <w:tr2bl w:val="nil"/>
                  </w:tcBorders>
                  <w:shd w:val="clear" w:color="auto" w:fill="FFFFFF"/>
                  <w:vAlign w:val="center"/>
                </w:tcPr>
                <w:p w14:paraId="44048F4E">
                  <w:pPr>
                    <w:keepNext w:val="0"/>
                    <w:keepLines w:val="0"/>
                    <w:widowControl/>
                    <w:suppressLineNumbers w:val="0"/>
                    <w:jc w:val="center"/>
                    <w:textAlignment w:val="center"/>
                    <w:rPr>
                      <w:rFonts w:hint="default" w:ascii="var(--dsw-font-markdown-table-h" w:hAnsi="var(--dsw-font-markdown-table-h" w:eastAsia="var(--dsw-font-markdown-table-h" w:cs="var(--dsw-font-markdown-table-h"/>
                      <w:b/>
                      <w:bCs/>
                      <w:i w:val="0"/>
                      <w:iCs w:val="0"/>
                      <w:color w:val="auto"/>
                      <w:sz w:val="24"/>
                      <w:szCs w:val="24"/>
                      <w:u w:val="none"/>
                    </w:rPr>
                  </w:pPr>
                  <w:r>
                    <w:rPr>
                      <w:rFonts w:hint="default" w:ascii="var(--dsw-font-markdown-table-h" w:hAnsi="var(--dsw-font-markdown-table-h" w:eastAsia="var(--dsw-font-markdown-table-h" w:cs="var(--dsw-font-markdown-table-h"/>
                      <w:b/>
                      <w:bCs/>
                      <w:i w:val="0"/>
                      <w:iCs w:val="0"/>
                      <w:color w:val="auto"/>
                      <w:kern w:val="0"/>
                      <w:sz w:val="24"/>
                      <w:szCs w:val="24"/>
                      <w:u w:val="none"/>
                      <w:lang w:val="en-US" w:eastAsia="zh-CN" w:bidi="ar"/>
                    </w:rPr>
                    <w:t>坐标</w:t>
                  </w:r>
                </w:p>
              </w:tc>
              <w:tc>
                <w:tcPr>
                  <w:tcW w:w="1427" w:type="dxa"/>
                  <w:tcBorders>
                    <w:tl2br w:val="nil"/>
                    <w:tr2bl w:val="nil"/>
                  </w:tcBorders>
                  <w:shd w:val="clear" w:color="auto" w:fill="FFFFFF"/>
                  <w:vAlign w:val="center"/>
                </w:tcPr>
                <w:p w14:paraId="5D0B22FB">
                  <w:pPr>
                    <w:keepNext w:val="0"/>
                    <w:keepLines w:val="0"/>
                    <w:widowControl/>
                    <w:suppressLineNumbers w:val="0"/>
                    <w:jc w:val="center"/>
                    <w:textAlignment w:val="center"/>
                    <w:rPr>
                      <w:rFonts w:hint="default" w:ascii="var(--dsw-font-markdown-table-h" w:hAnsi="var(--dsw-font-markdown-table-h" w:eastAsia="var(--dsw-font-markdown-table-h" w:cs="var(--dsw-font-markdown-table-h"/>
                      <w:b/>
                      <w:bCs/>
                      <w:i w:val="0"/>
                      <w:iCs w:val="0"/>
                      <w:color w:val="auto"/>
                      <w:sz w:val="24"/>
                      <w:szCs w:val="24"/>
                      <w:u w:val="none"/>
                    </w:rPr>
                  </w:pPr>
                  <w:r>
                    <w:rPr>
                      <w:rFonts w:hint="eastAsia" w:ascii="var(--dsw-font-markdown-table-h" w:hAnsi="var(--dsw-font-markdown-table-h" w:eastAsia="var(--dsw-font-markdown-table-h" w:cs="var(--dsw-font-markdown-table-h"/>
                      <w:b/>
                      <w:bCs/>
                      <w:i w:val="0"/>
                      <w:iCs w:val="0"/>
                      <w:color w:val="auto"/>
                      <w:kern w:val="0"/>
                      <w:sz w:val="24"/>
                      <w:szCs w:val="24"/>
                      <w:u w:val="none"/>
                      <w:lang w:val="en-US" w:eastAsia="zh-CN" w:bidi="ar"/>
                    </w:rPr>
                    <w:t>保护对象</w:t>
                  </w:r>
                  <w:r>
                    <w:rPr>
                      <w:rFonts w:hint="default" w:ascii="var(--dsw-font-markdown-table-h" w:hAnsi="var(--dsw-font-markdown-table-h" w:eastAsia="var(--dsw-font-markdown-table-h" w:cs="var(--dsw-font-markdown-table-h"/>
                      <w:b/>
                      <w:bCs/>
                      <w:i w:val="0"/>
                      <w:iCs w:val="0"/>
                      <w:color w:val="auto"/>
                      <w:kern w:val="0"/>
                      <w:sz w:val="24"/>
                      <w:szCs w:val="24"/>
                      <w:u w:val="none"/>
                      <w:lang w:val="en-US" w:eastAsia="zh-CN" w:bidi="ar"/>
                    </w:rPr>
                    <w:t>规模</w:t>
                  </w:r>
                </w:p>
              </w:tc>
              <w:tc>
                <w:tcPr>
                  <w:tcW w:w="1383" w:type="dxa"/>
                  <w:tcBorders>
                    <w:tl2br w:val="nil"/>
                    <w:tr2bl w:val="nil"/>
                  </w:tcBorders>
                  <w:shd w:val="clear" w:color="auto" w:fill="FFFFFF"/>
                  <w:vAlign w:val="center"/>
                </w:tcPr>
                <w:p w14:paraId="6102F852">
                  <w:pPr>
                    <w:keepNext w:val="0"/>
                    <w:keepLines w:val="0"/>
                    <w:widowControl/>
                    <w:suppressLineNumbers w:val="0"/>
                    <w:jc w:val="left"/>
                    <w:textAlignment w:val="center"/>
                    <w:rPr>
                      <w:rFonts w:hint="default" w:ascii="var(--dsw-font-markdown-table-h" w:hAnsi="var(--dsw-font-markdown-table-h" w:eastAsia="var(--dsw-font-markdown-table-h" w:cs="var(--dsw-font-markdown-table-h"/>
                      <w:b/>
                      <w:bCs/>
                      <w:i w:val="0"/>
                      <w:iCs w:val="0"/>
                      <w:color w:val="auto"/>
                      <w:sz w:val="24"/>
                      <w:szCs w:val="24"/>
                      <w:u w:val="none"/>
                    </w:rPr>
                  </w:pPr>
                  <w:r>
                    <w:rPr>
                      <w:rFonts w:hint="default" w:ascii="var(--dsw-font-markdown-table-h" w:hAnsi="var(--dsw-font-markdown-table-h" w:eastAsia="var(--dsw-font-markdown-table-h" w:cs="var(--dsw-font-markdown-table-h"/>
                      <w:b/>
                      <w:bCs/>
                      <w:i w:val="0"/>
                      <w:iCs w:val="0"/>
                      <w:color w:val="auto"/>
                      <w:kern w:val="0"/>
                      <w:sz w:val="24"/>
                      <w:szCs w:val="24"/>
                      <w:u w:val="none"/>
                      <w:lang w:val="en-US" w:eastAsia="zh-CN" w:bidi="ar"/>
                    </w:rPr>
                    <w:t>相对位置</w:t>
                  </w:r>
                  <w:r>
                    <w:rPr>
                      <w:rFonts w:hint="eastAsia" w:ascii="var(--dsw-font-markdown-table-h" w:hAnsi="var(--dsw-font-markdown-table-h" w:eastAsia="var(--dsw-font-markdown-table-h" w:cs="var(--dsw-font-markdown-table-h"/>
                      <w:b/>
                      <w:bCs/>
                      <w:i w:val="0"/>
                      <w:iCs w:val="0"/>
                      <w:color w:val="auto"/>
                      <w:kern w:val="0"/>
                      <w:sz w:val="24"/>
                      <w:szCs w:val="24"/>
                      <w:u w:val="none"/>
                      <w:lang w:val="en-US" w:eastAsia="zh-CN" w:bidi="ar"/>
                    </w:rPr>
                    <w:t>/</w:t>
                  </w:r>
                  <w:r>
                    <w:rPr>
                      <w:rFonts w:hint="default" w:ascii="var(--dsw-font-markdown-table-h" w:hAnsi="var(--dsw-font-markdown-table-h" w:eastAsia="var(--dsw-font-markdown-table-h" w:cs="var(--dsw-font-markdown-table-h"/>
                      <w:b/>
                      <w:bCs/>
                      <w:i w:val="0"/>
                      <w:iCs w:val="0"/>
                      <w:color w:val="auto"/>
                      <w:kern w:val="0"/>
                      <w:sz w:val="24"/>
                      <w:szCs w:val="24"/>
                      <w:u w:val="none"/>
                      <w:lang w:val="en-US" w:eastAsia="zh-CN" w:bidi="ar"/>
                    </w:rPr>
                    <w:t>最近距离</w:t>
                  </w:r>
                </w:p>
              </w:tc>
              <w:tc>
                <w:tcPr>
                  <w:tcW w:w="1717" w:type="dxa"/>
                  <w:tcBorders>
                    <w:tl2br w:val="nil"/>
                    <w:tr2bl w:val="nil"/>
                  </w:tcBorders>
                  <w:shd w:val="clear" w:color="auto" w:fill="FFFFFF"/>
                  <w:vAlign w:val="center"/>
                </w:tcPr>
                <w:p w14:paraId="4B5359D2">
                  <w:pPr>
                    <w:keepNext w:val="0"/>
                    <w:keepLines w:val="0"/>
                    <w:widowControl/>
                    <w:suppressLineNumbers w:val="0"/>
                    <w:jc w:val="left"/>
                    <w:textAlignment w:val="center"/>
                    <w:rPr>
                      <w:rFonts w:hint="default" w:ascii="var(--dsw-font-markdown-table-h" w:hAnsi="var(--dsw-font-markdown-table-h" w:eastAsia="var(--dsw-font-markdown-table-h" w:cs="var(--dsw-font-markdown-table-h"/>
                      <w:b/>
                      <w:bCs/>
                      <w:i w:val="0"/>
                      <w:iCs w:val="0"/>
                      <w:color w:val="auto"/>
                      <w:sz w:val="24"/>
                      <w:szCs w:val="24"/>
                      <w:u w:val="none"/>
                    </w:rPr>
                  </w:pPr>
                  <w:r>
                    <w:rPr>
                      <w:rFonts w:hint="eastAsia" w:ascii="var(--dsw-font-markdown-table-h" w:hAnsi="var(--dsw-font-markdown-table-h" w:eastAsia="var(--dsw-font-markdown-table-h" w:cs="var(--dsw-font-markdown-table-h"/>
                      <w:b/>
                      <w:bCs/>
                      <w:i w:val="0"/>
                      <w:iCs w:val="0"/>
                      <w:color w:val="auto"/>
                      <w:kern w:val="0"/>
                      <w:sz w:val="24"/>
                      <w:szCs w:val="24"/>
                      <w:u w:val="none"/>
                      <w:lang w:val="en-US" w:eastAsia="zh-CN" w:bidi="ar"/>
                    </w:rPr>
                    <w:t>功能分区</w:t>
                  </w:r>
                  <w:r>
                    <w:rPr>
                      <w:rFonts w:hint="default" w:ascii="var(--dsw-font-markdown-table-h" w:hAnsi="var(--dsw-font-markdown-table-h" w:eastAsia="var(--dsw-font-markdown-table-h" w:cs="var(--dsw-font-markdown-table-h"/>
                      <w:b/>
                      <w:bCs/>
                      <w:i w:val="0"/>
                      <w:iCs w:val="0"/>
                      <w:color w:val="auto"/>
                      <w:kern w:val="0"/>
                      <w:sz w:val="24"/>
                      <w:szCs w:val="24"/>
                      <w:u w:val="none"/>
                      <w:lang w:val="en-US" w:eastAsia="zh-CN" w:bidi="ar"/>
                    </w:rPr>
                    <w:t>及执行标准</w:t>
                  </w:r>
                </w:p>
              </w:tc>
            </w:tr>
            <w:tr w14:paraId="70FCD68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8220" w:type="dxa"/>
                  <w:gridSpan w:val="6"/>
                  <w:tcBorders>
                    <w:tl2br w:val="nil"/>
                    <w:tr2bl w:val="nil"/>
                  </w:tcBorders>
                  <w:shd w:val="clear" w:color="auto" w:fill="auto"/>
                  <w:noWrap/>
                  <w:vAlign w:val="center"/>
                </w:tcPr>
                <w:p w14:paraId="6EFF3D3E">
                  <w:pP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一、防洪排涝工程</w:t>
                  </w:r>
                </w:p>
              </w:tc>
            </w:tr>
            <w:tr w14:paraId="560C832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tcBorders>
                    <w:tl2br w:val="nil"/>
                    <w:tr2bl w:val="nil"/>
                  </w:tcBorders>
                  <w:shd w:val="clear" w:color="auto" w:fill="auto"/>
                  <w:noWrap/>
                  <w:vAlign w:val="center"/>
                </w:tcPr>
                <w:p w14:paraId="3088640F">
                  <w:pPr>
                    <w:keepNext w:val="0"/>
                    <w:keepLines w:val="0"/>
                    <w:widowControl/>
                    <w:suppressLineNumbers w:val="0"/>
                    <w:jc w:val="left"/>
                    <w:textAlignment w:val="center"/>
                    <w:rPr>
                      <w:rFonts w:hint="default" w:ascii="宋体" w:hAnsi="宋体" w:eastAsia="宋体" w:cs="宋体"/>
                      <w:i w:val="0"/>
                      <w:iCs w:val="0"/>
                      <w:color w:val="auto"/>
                      <w:sz w:val="22"/>
                      <w:szCs w:val="22"/>
                      <w:u w:val="none"/>
                      <w:lang w:val="en-US" w:eastAsia="zh-CN"/>
                    </w:rPr>
                  </w:pPr>
                  <w:r>
                    <w:rPr>
                      <w:rFonts w:hint="eastAsia" w:ascii="宋体" w:hAnsi="宋体" w:eastAsia="宋体" w:cs="宋体"/>
                      <w:i w:val="0"/>
                      <w:iCs w:val="0"/>
                      <w:color w:val="auto"/>
                      <w:sz w:val="22"/>
                      <w:szCs w:val="22"/>
                      <w:u w:val="none"/>
                      <w:lang w:eastAsia="zh-CN"/>
                    </w:rPr>
                    <w:t>大气环境</w:t>
                  </w:r>
                  <w:r>
                    <w:rPr>
                      <w:rFonts w:hint="eastAsia" w:ascii="宋体" w:hAnsi="宋体" w:eastAsia="宋体" w:cs="宋体"/>
                      <w:i w:val="0"/>
                      <w:iCs w:val="0"/>
                      <w:color w:val="auto"/>
                      <w:sz w:val="22"/>
                      <w:szCs w:val="22"/>
                      <w:u w:val="none"/>
                      <w:lang w:val="en-US" w:eastAsia="zh-CN"/>
                    </w:rPr>
                    <w:t>+声环境</w:t>
                  </w:r>
                </w:p>
              </w:tc>
              <w:tc>
                <w:tcPr>
                  <w:tcW w:w="980" w:type="dxa"/>
                  <w:tcBorders>
                    <w:tl2br w:val="nil"/>
                    <w:tr2bl w:val="nil"/>
                  </w:tcBorders>
                  <w:shd w:val="clear" w:color="auto" w:fill="auto"/>
                  <w:noWrap/>
                  <w:vAlign w:val="center"/>
                </w:tcPr>
                <w:p w14:paraId="7AD403BB">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城陵矶村</w:t>
                  </w:r>
                </w:p>
              </w:tc>
              <w:tc>
                <w:tcPr>
                  <w:tcW w:w="1576" w:type="dxa"/>
                  <w:tcBorders>
                    <w:tl2br w:val="nil"/>
                    <w:tr2bl w:val="nil"/>
                  </w:tcBorders>
                  <w:shd w:val="clear" w:color="auto" w:fill="auto"/>
                  <w:noWrap/>
                  <w:vAlign w:val="center"/>
                </w:tcPr>
                <w:p w14:paraId="186375FA">
                  <w:pPr>
                    <w:keepNext w:val="0"/>
                    <w:keepLines w:val="0"/>
                    <w:widowControl/>
                    <w:suppressLineNumbers w:val="0"/>
                    <w:jc w:val="left"/>
                    <w:textAlignment w:val="center"/>
                    <w:rPr>
                      <w:rFonts w:hint="default"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E113.152908,N29.434819</w:t>
                  </w:r>
                </w:p>
              </w:tc>
              <w:tc>
                <w:tcPr>
                  <w:tcW w:w="1427" w:type="dxa"/>
                  <w:tcBorders>
                    <w:tl2br w:val="nil"/>
                    <w:tr2bl w:val="nil"/>
                  </w:tcBorders>
                  <w:shd w:val="clear" w:color="auto" w:fill="auto"/>
                  <w:noWrap/>
                  <w:vAlign w:val="center"/>
                </w:tcPr>
                <w:p w14:paraId="31871F67">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约120户/360人</w:t>
                  </w:r>
                </w:p>
              </w:tc>
              <w:tc>
                <w:tcPr>
                  <w:tcW w:w="1383" w:type="dxa"/>
                  <w:tcBorders>
                    <w:tl2br w:val="nil"/>
                    <w:tr2bl w:val="nil"/>
                  </w:tcBorders>
                  <w:shd w:val="clear" w:color="auto" w:fill="auto"/>
                  <w:noWrap/>
                  <w:vAlign w:val="center"/>
                </w:tcPr>
                <w:p w14:paraId="4B1C0BA8">
                  <w:pPr>
                    <w:keepNext w:val="0"/>
                    <w:keepLines w:val="0"/>
                    <w:widowControl/>
                    <w:suppressLineNumbers w:val="0"/>
                    <w:jc w:val="left"/>
                    <w:textAlignment w:val="center"/>
                    <w:rPr>
                      <w:rFonts w:hint="default" w:ascii="宋体" w:hAnsi="宋体" w:eastAsia="宋体" w:cs="宋体"/>
                      <w:i w:val="0"/>
                      <w:iCs w:val="0"/>
                      <w:color w:val="auto"/>
                      <w:sz w:val="22"/>
                      <w:szCs w:val="22"/>
                      <w:u w:val="none"/>
                      <w:lang w:val="en-US" w:eastAsia="zh-CN"/>
                    </w:rPr>
                  </w:pPr>
                  <w:r>
                    <w:rPr>
                      <w:rFonts w:hint="eastAsia" w:ascii="宋体" w:hAnsi="宋体" w:eastAsia="宋体" w:cs="宋体"/>
                      <w:i w:val="0"/>
                      <w:iCs w:val="0"/>
                      <w:color w:val="auto"/>
                      <w:sz w:val="22"/>
                      <w:szCs w:val="22"/>
                      <w:u w:val="none"/>
                      <w:lang w:eastAsia="zh-CN"/>
                    </w:rPr>
                    <w:t>清淤点</w:t>
                  </w:r>
                  <w:r>
                    <w:rPr>
                      <w:rFonts w:hint="eastAsia" w:ascii="宋体" w:hAnsi="宋体" w:eastAsia="宋体" w:cs="宋体"/>
                      <w:i w:val="0"/>
                      <w:iCs w:val="0"/>
                      <w:color w:val="auto"/>
                      <w:sz w:val="22"/>
                      <w:szCs w:val="22"/>
                      <w:u w:val="none"/>
                      <w:lang w:val="en-US" w:eastAsia="zh-CN"/>
                    </w:rPr>
                    <w:t>E，</w:t>
                  </w:r>
                  <w:r>
                    <w:rPr>
                      <w:rFonts w:hint="eastAsia" w:ascii="宋体" w:hAnsi="宋体" w:eastAsia="宋体" w:cs="宋体"/>
                      <w:i w:val="0"/>
                      <w:iCs w:val="0"/>
                      <w:color w:val="auto"/>
                      <w:kern w:val="0"/>
                      <w:sz w:val="22"/>
                      <w:szCs w:val="22"/>
                      <w:u w:val="none"/>
                      <w:lang w:val="en-US" w:eastAsia="zh-CN" w:bidi="ar"/>
                    </w:rPr>
                    <w:t>20~500m</w:t>
                  </w:r>
                </w:p>
              </w:tc>
              <w:tc>
                <w:tcPr>
                  <w:tcW w:w="1717" w:type="dxa"/>
                  <w:tcBorders>
                    <w:tl2br w:val="nil"/>
                    <w:tr2bl w:val="nil"/>
                  </w:tcBorders>
                  <w:shd w:val="clear" w:color="auto" w:fill="auto"/>
                  <w:noWrap/>
                  <w:vAlign w:val="center"/>
                </w:tcPr>
                <w:p w14:paraId="69295002">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声环境：（GB3096）2类；大气环境：（GB3095）二级</w:t>
                  </w:r>
                </w:p>
              </w:tc>
            </w:tr>
            <w:tr w14:paraId="1E790E7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tcBorders>
                    <w:tl2br w:val="nil"/>
                    <w:tr2bl w:val="nil"/>
                  </w:tcBorders>
                  <w:shd w:val="clear" w:color="auto" w:fill="auto"/>
                  <w:noWrap/>
                  <w:vAlign w:val="center"/>
                </w:tcPr>
                <w:p w14:paraId="55EA6BE9">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大气环境</w:t>
                  </w:r>
                </w:p>
              </w:tc>
              <w:tc>
                <w:tcPr>
                  <w:tcW w:w="980" w:type="dxa"/>
                  <w:tcBorders>
                    <w:tl2br w:val="nil"/>
                    <w:tr2bl w:val="nil"/>
                  </w:tcBorders>
                  <w:shd w:val="clear" w:color="auto" w:fill="auto"/>
                  <w:noWrap/>
                  <w:vAlign w:val="center"/>
                </w:tcPr>
                <w:p w14:paraId="783D032B">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花园小区、岳阳五中等</w:t>
                  </w:r>
                </w:p>
              </w:tc>
              <w:tc>
                <w:tcPr>
                  <w:tcW w:w="1576" w:type="dxa"/>
                  <w:tcBorders>
                    <w:tl2br w:val="nil"/>
                    <w:tr2bl w:val="nil"/>
                  </w:tcBorders>
                  <w:shd w:val="clear" w:color="auto" w:fill="auto"/>
                  <w:noWrap/>
                  <w:vAlign w:val="center"/>
                </w:tcPr>
                <w:p w14:paraId="4F2F5F62">
                  <w:pPr>
                    <w:keepNext w:val="0"/>
                    <w:keepLines w:val="0"/>
                    <w:widowControl/>
                    <w:suppressLineNumbers w:val="0"/>
                    <w:jc w:val="left"/>
                    <w:textAlignment w:val="center"/>
                    <w:rPr>
                      <w:rFonts w:hint="default"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154137</w:t>
                  </w:r>
                  <w:r>
                    <w:rPr>
                      <w:rFonts w:hint="eastAsia" w:ascii="宋体" w:hAnsi="宋体" w:eastAsia="宋体" w:cs="宋体"/>
                      <w:i w:val="0"/>
                      <w:iCs w:val="0"/>
                      <w:color w:val="auto"/>
                      <w:kern w:val="0"/>
                      <w:sz w:val="22"/>
                      <w:szCs w:val="22"/>
                      <w:u w:val="none"/>
                      <w:lang w:val="en-US" w:eastAsia="zh-CN" w:bidi="ar"/>
                    </w:rPr>
                    <w:t>,N29.43</w:t>
                  </w:r>
                  <w:r>
                    <w:rPr>
                      <w:rFonts w:hint="eastAsia" w:ascii="宋体" w:hAnsi="宋体" w:cs="宋体"/>
                      <w:i w:val="0"/>
                      <w:iCs w:val="0"/>
                      <w:color w:val="auto"/>
                      <w:kern w:val="0"/>
                      <w:sz w:val="22"/>
                      <w:szCs w:val="22"/>
                      <w:u w:val="none"/>
                      <w:lang w:val="en-US" w:eastAsia="zh-CN" w:bidi="ar"/>
                    </w:rPr>
                    <w:t>7460；</w:t>
                  </w: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148429</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436961</w:t>
                  </w:r>
                </w:p>
              </w:tc>
              <w:tc>
                <w:tcPr>
                  <w:tcW w:w="1427" w:type="dxa"/>
                  <w:tcBorders>
                    <w:tl2br w:val="nil"/>
                    <w:tr2bl w:val="nil"/>
                  </w:tcBorders>
                  <w:shd w:val="clear" w:color="auto" w:fill="auto"/>
                  <w:noWrap/>
                  <w:vAlign w:val="center"/>
                </w:tcPr>
                <w:p w14:paraId="05199B50">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约80户/240人</w:t>
                  </w:r>
                </w:p>
                <w:p w14:paraId="649AE829">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师生约1700人</w:t>
                  </w:r>
                </w:p>
              </w:tc>
              <w:tc>
                <w:tcPr>
                  <w:tcW w:w="1383" w:type="dxa"/>
                  <w:tcBorders>
                    <w:tl2br w:val="nil"/>
                    <w:tr2bl w:val="nil"/>
                  </w:tcBorders>
                  <w:shd w:val="clear" w:color="auto" w:fill="auto"/>
                  <w:noWrap/>
                  <w:vAlign w:val="center"/>
                </w:tcPr>
                <w:p w14:paraId="26313E0A">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sz w:val="22"/>
                      <w:szCs w:val="22"/>
                      <w:u w:val="none"/>
                      <w:lang w:eastAsia="zh-CN"/>
                    </w:rPr>
                    <w:t>清淤点</w:t>
                  </w:r>
                  <w:r>
                    <w:rPr>
                      <w:rFonts w:hint="eastAsia" w:ascii="宋体" w:hAnsi="宋体" w:eastAsia="宋体" w:cs="宋体"/>
                      <w:i w:val="0"/>
                      <w:iCs w:val="0"/>
                      <w:color w:val="auto"/>
                      <w:sz w:val="22"/>
                      <w:szCs w:val="22"/>
                      <w:u w:val="none"/>
                      <w:lang w:val="en-US" w:eastAsia="zh-CN"/>
                    </w:rPr>
                    <w:t>N，</w:t>
                  </w:r>
                  <w:r>
                    <w:rPr>
                      <w:rFonts w:hint="eastAsia" w:ascii="宋体" w:hAnsi="宋体" w:eastAsia="宋体" w:cs="宋体"/>
                      <w:i w:val="0"/>
                      <w:iCs w:val="0"/>
                      <w:color w:val="auto"/>
                      <w:kern w:val="0"/>
                      <w:sz w:val="22"/>
                      <w:szCs w:val="22"/>
                      <w:u w:val="none"/>
                      <w:lang w:val="en-US" w:eastAsia="zh-CN" w:bidi="ar"/>
                    </w:rPr>
                    <w:t>210~500m</w:t>
                  </w:r>
                </w:p>
              </w:tc>
              <w:tc>
                <w:tcPr>
                  <w:tcW w:w="1717" w:type="dxa"/>
                  <w:tcBorders>
                    <w:tl2br w:val="nil"/>
                    <w:tr2bl w:val="nil"/>
                  </w:tcBorders>
                  <w:shd w:val="clear" w:color="auto" w:fill="auto"/>
                  <w:noWrap/>
                  <w:vAlign w:val="center"/>
                </w:tcPr>
                <w:p w14:paraId="01B29F6B">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大气环境：（GB3095）二级</w:t>
                  </w:r>
                </w:p>
              </w:tc>
            </w:tr>
            <w:tr w14:paraId="70965CF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tcBorders>
                    <w:tl2br w:val="nil"/>
                    <w:tr2bl w:val="nil"/>
                  </w:tcBorders>
                  <w:shd w:val="clear" w:color="auto" w:fill="auto"/>
                  <w:noWrap/>
                  <w:vAlign w:val="center"/>
                </w:tcPr>
                <w:p w14:paraId="06F5B7FA">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大气环境</w:t>
                  </w:r>
                  <w:r>
                    <w:rPr>
                      <w:rFonts w:hint="eastAsia" w:ascii="宋体" w:hAnsi="宋体" w:eastAsia="宋体" w:cs="宋体"/>
                      <w:i w:val="0"/>
                      <w:iCs w:val="0"/>
                      <w:color w:val="auto"/>
                      <w:sz w:val="22"/>
                      <w:szCs w:val="22"/>
                      <w:u w:val="none"/>
                      <w:lang w:val="en-US" w:eastAsia="zh-CN"/>
                    </w:rPr>
                    <w:t>+声环境</w:t>
                  </w:r>
                </w:p>
              </w:tc>
              <w:tc>
                <w:tcPr>
                  <w:tcW w:w="980" w:type="dxa"/>
                  <w:tcBorders>
                    <w:tl2br w:val="nil"/>
                    <w:tr2bl w:val="nil"/>
                  </w:tcBorders>
                  <w:shd w:val="clear" w:color="auto" w:fill="auto"/>
                  <w:noWrap/>
                  <w:vAlign w:val="center"/>
                </w:tcPr>
                <w:p w14:paraId="0C85374B">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弘明印象园、博林苑、东方红小学等</w:t>
                  </w:r>
                </w:p>
              </w:tc>
              <w:tc>
                <w:tcPr>
                  <w:tcW w:w="1576" w:type="dxa"/>
                  <w:tcBorders>
                    <w:tl2br w:val="nil"/>
                    <w:tr2bl w:val="nil"/>
                  </w:tcBorders>
                  <w:shd w:val="clear" w:color="auto" w:fill="auto"/>
                  <w:noWrap/>
                  <w:vAlign w:val="center"/>
                </w:tcPr>
                <w:p w14:paraId="6199AA8B">
                  <w:pPr>
                    <w:keepNext w:val="0"/>
                    <w:keepLines w:val="0"/>
                    <w:widowControl/>
                    <w:suppressLineNumbers w:val="0"/>
                    <w:jc w:val="left"/>
                    <w:textAlignment w:val="center"/>
                    <w:rPr>
                      <w:rFonts w:hint="default"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106200</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372631；</w:t>
                  </w: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105235</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370324；</w:t>
                  </w: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103540</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371998</w:t>
                  </w:r>
                </w:p>
              </w:tc>
              <w:tc>
                <w:tcPr>
                  <w:tcW w:w="1427" w:type="dxa"/>
                  <w:tcBorders>
                    <w:tl2br w:val="nil"/>
                    <w:tr2bl w:val="nil"/>
                  </w:tcBorders>
                  <w:shd w:val="clear" w:color="auto" w:fill="auto"/>
                  <w:noWrap/>
                  <w:vAlign w:val="center"/>
                </w:tcPr>
                <w:p w14:paraId="044F8413">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约210户/630人</w:t>
                  </w:r>
                </w:p>
                <w:p w14:paraId="2AFB4B7D">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师生约4700人</w:t>
                  </w:r>
                </w:p>
              </w:tc>
              <w:tc>
                <w:tcPr>
                  <w:tcW w:w="1383" w:type="dxa"/>
                  <w:tcBorders>
                    <w:tl2br w:val="nil"/>
                    <w:tr2bl w:val="nil"/>
                  </w:tcBorders>
                  <w:shd w:val="clear" w:color="auto" w:fill="auto"/>
                  <w:noWrap/>
                  <w:vAlign w:val="center"/>
                </w:tcPr>
                <w:p w14:paraId="5F2D9B1C">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清淤点四周，</w:t>
                  </w:r>
                  <w:r>
                    <w:rPr>
                      <w:rFonts w:hint="eastAsia" w:ascii="宋体" w:hAnsi="宋体" w:eastAsia="宋体" w:cs="宋体"/>
                      <w:i w:val="0"/>
                      <w:iCs w:val="0"/>
                      <w:color w:val="auto"/>
                      <w:kern w:val="0"/>
                      <w:sz w:val="22"/>
                      <w:szCs w:val="22"/>
                      <w:u w:val="none"/>
                      <w:lang w:val="en-US" w:eastAsia="zh-CN" w:bidi="ar"/>
                    </w:rPr>
                    <w:t>20~300m</w:t>
                  </w:r>
                </w:p>
              </w:tc>
              <w:tc>
                <w:tcPr>
                  <w:tcW w:w="1717" w:type="dxa"/>
                  <w:tcBorders>
                    <w:tl2br w:val="nil"/>
                    <w:tr2bl w:val="nil"/>
                  </w:tcBorders>
                  <w:shd w:val="clear" w:color="auto" w:fill="auto"/>
                  <w:noWrap/>
                  <w:vAlign w:val="center"/>
                </w:tcPr>
                <w:p w14:paraId="5EA51612">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声环境：（GB3096）2类；大气环境：（GB3095）二级</w:t>
                  </w:r>
                </w:p>
              </w:tc>
            </w:tr>
            <w:tr w14:paraId="5DC7DCE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vMerge w:val="restart"/>
                  <w:tcBorders>
                    <w:tl2br w:val="nil"/>
                    <w:tr2bl w:val="nil"/>
                  </w:tcBorders>
                  <w:shd w:val="clear" w:color="auto" w:fill="auto"/>
                  <w:noWrap/>
                  <w:vAlign w:val="center"/>
                </w:tcPr>
                <w:p w14:paraId="69ACE7C4">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大气环境</w:t>
                  </w:r>
                </w:p>
              </w:tc>
              <w:tc>
                <w:tcPr>
                  <w:tcW w:w="980" w:type="dxa"/>
                  <w:tcBorders>
                    <w:tl2br w:val="nil"/>
                    <w:tr2bl w:val="nil"/>
                  </w:tcBorders>
                  <w:shd w:val="clear" w:color="auto" w:fill="auto"/>
                  <w:noWrap/>
                  <w:vAlign w:val="center"/>
                </w:tcPr>
                <w:p w14:paraId="7CA23C0B">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金阳花园</w:t>
                  </w:r>
                </w:p>
              </w:tc>
              <w:tc>
                <w:tcPr>
                  <w:tcW w:w="1576" w:type="dxa"/>
                  <w:tcBorders>
                    <w:tl2br w:val="nil"/>
                    <w:tr2bl w:val="nil"/>
                  </w:tcBorders>
                  <w:shd w:val="clear" w:color="auto" w:fill="auto"/>
                  <w:noWrap/>
                  <w:vAlign w:val="center"/>
                </w:tcPr>
                <w:p w14:paraId="1E7EA37B">
                  <w:pPr>
                    <w:keepNext w:val="0"/>
                    <w:keepLines w:val="0"/>
                    <w:widowControl/>
                    <w:suppressLineNumbers w:val="0"/>
                    <w:jc w:val="left"/>
                    <w:textAlignment w:val="center"/>
                    <w:rPr>
                      <w:rFonts w:hint="default"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E113.100938,N29.372804</w:t>
                  </w:r>
                </w:p>
              </w:tc>
              <w:tc>
                <w:tcPr>
                  <w:tcW w:w="1427" w:type="dxa"/>
                  <w:tcBorders>
                    <w:tl2br w:val="nil"/>
                    <w:tr2bl w:val="nil"/>
                  </w:tcBorders>
                  <w:shd w:val="clear" w:color="auto" w:fill="auto"/>
                  <w:noWrap/>
                  <w:vAlign w:val="center"/>
                </w:tcPr>
                <w:p w14:paraId="2D90EE25">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约100户/300人</w:t>
                  </w:r>
                </w:p>
              </w:tc>
              <w:tc>
                <w:tcPr>
                  <w:tcW w:w="1383" w:type="dxa"/>
                  <w:tcBorders>
                    <w:tl2br w:val="nil"/>
                    <w:tr2bl w:val="nil"/>
                  </w:tcBorders>
                  <w:shd w:val="clear" w:color="auto" w:fill="auto"/>
                  <w:noWrap/>
                  <w:vAlign w:val="center"/>
                </w:tcPr>
                <w:p w14:paraId="594650F9">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清淤点</w:t>
                  </w:r>
                  <w:r>
                    <w:rPr>
                      <w:rFonts w:hint="eastAsia" w:ascii="宋体" w:hAnsi="宋体" w:eastAsia="宋体" w:cs="宋体"/>
                      <w:i w:val="0"/>
                      <w:iCs w:val="0"/>
                      <w:color w:val="auto"/>
                      <w:sz w:val="22"/>
                      <w:szCs w:val="22"/>
                      <w:u w:val="none"/>
                      <w:lang w:val="en-US" w:eastAsia="zh-CN"/>
                    </w:rPr>
                    <w:t>W</w:t>
                  </w:r>
                  <w:r>
                    <w:rPr>
                      <w:rFonts w:hint="eastAsia" w:ascii="宋体" w:hAnsi="宋体" w:eastAsia="宋体" w:cs="宋体"/>
                      <w:i w:val="0"/>
                      <w:iCs w:val="0"/>
                      <w:color w:val="auto"/>
                      <w:sz w:val="22"/>
                      <w:szCs w:val="22"/>
                      <w:u w:val="none"/>
                      <w:lang w:eastAsia="zh-CN"/>
                    </w:rPr>
                    <w:t>，</w:t>
                  </w:r>
                  <w:r>
                    <w:rPr>
                      <w:rFonts w:hint="eastAsia" w:ascii="宋体" w:hAnsi="宋体" w:eastAsia="宋体" w:cs="宋体"/>
                      <w:i w:val="0"/>
                      <w:iCs w:val="0"/>
                      <w:color w:val="auto"/>
                      <w:kern w:val="0"/>
                      <w:sz w:val="22"/>
                      <w:szCs w:val="22"/>
                      <w:u w:val="none"/>
                      <w:lang w:val="en-US" w:eastAsia="zh-CN" w:bidi="ar"/>
                    </w:rPr>
                    <w:t>270~500m</w:t>
                  </w:r>
                </w:p>
              </w:tc>
              <w:tc>
                <w:tcPr>
                  <w:tcW w:w="1717" w:type="dxa"/>
                  <w:vMerge w:val="restart"/>
                  <w:tcBorders>
                    <w:tl2br w:val="nil"/>
                    <w:tr2bl w:val="nil"/>
                  </w:tcBorders>
                  <w:shd w:val="clear" w:color="auto" w:fill="auto"/>
                  <w:noWrap/>
                  <w:vAlign w:val="center"/>
                </w:tcPr>
                <w:p w14:paraId="57F1743C">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大气环境：（GB3095）二级</w:t>
                  </w:r>
                </w:p>
              </w:tc>
            </w:tr>
            <w:tr w14:paraId="388E9FB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vMerge w:val="continue"/>
                  <w:tcBorders>
                    <w:tl2br w:val="nil"/>
                    <w:tr2bl w:val="nil"/>
                  </w:tcBorders>
                  <w:shd w:val="clear" w:color="auto" w:fill="auto"/>
                  <w:noWrap/>
                  <w:vAlign w:val="center"/>
                </w:tcPr>
                <w:p w14:paraId="7FD56887">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p>
              </w:tc>
              <w:tc>
                <w:tcPr>
                  <w:tcW w:w="980" w:type="dxa"/>
                  <w:tcBorders>
                    <w:tl2br w:val="nil"/>
                    <w:tr2bl w:val="nil"/>
                  </w:tcBorders>
                  <w:shd w:val="clear" w:color="auto" w:fill="auto"/>
                  <w:noWrap/>
                  <w:vAlign w:val="center"/>
                </w:tcPr>
                <w:p w14:paraId="5910F002">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金鄂府邸</w:t>
                  </w:r>
                </w:p>
              </w:tc>
              <w:tc>
                <w:tcPr>
                  <w:tcW w:w="1576" w:type="dxa"/>
                  <w:tcBorders>
                    <w:tl2br w:val="nil"/>
                    <w:tr2bl w:val="nil"/>
                  </w:tcBorders>
                  <w:shd w:val="clear" w:color="auto" w:fill="auto"/>
                  <w:noWrap/>
                  <w:vAlign w:val="center"/>
                </w:tcPr>
                <w:p w14:paraId="21AEEB6F">
                  <w:pPr>
                    <w:keepNext w:val="0"/>
                    <w:keepLines w:val="0"/>
                    <w:widowControl/>
                    <w:suppressLineNumbers w:val="0"/>
                    <w:jc w:val="left"/>
                    <w:textAlignment w:val="center"/>
                    <w:rPr>
                      <w:rFonts w:hint="default"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E113.102257,N29.368989</w:t>
                  </w:r>
                </w:p>
              </w:tc>
              <w:tc>
                <w:tcPr>
                  <w:tcW w:w="1427" w:type="dxa"/>
                  <w:tcBorders>
                    <w:tl2br w:val="nil"/>
                    <w:tr2bl w:val="nil"/>
                  </w:tcBorders>
                  <w:shd w:val="clear" w:color="auto" w:fill="auto"/>
                  <w:noWrap/>
                  <w:vAlign w:val="center"/>
                </w:tcPr>
                <w:p w14:paraId="34958D2C">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约510户/1530人</w:t>
                  </w:r>
                </w:p>
              </w:tc>
              <w:tc>
                <w:tcPr>
                  <w:tcW w:w="1383" w:type="dxa"/>
                  <w:tcBorders>
                    <w:tl2br w:val="nil"/>
                    <w:tr2bl w:val="nil"/>
                  </w:tcBorders>
                  <w:shd w:val="clear" w:color="auto" w:fill="auto"/>
                  <w:noWrap/>
                  <w:vAlign w:val="center"/>
                </w:tcPr>
                <w:p w14:paraId="116EE826">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清淤点</w:t>
                  </w:r>
                  <w:r>
                    <w:rPr>
                      <w:rFonts w:hint="eastAsia" w:ascii="宋体" w:hAnsi="宋体" w:eastAsia="宋体" w:cs="宋体"/>
                      <w:i w:val="0"/>
                      <w:iCs w:val="0"/>
                      <w:color w:val="auto"/>
                      <w:sz w:val="22"/>
                      <w:szCs w:val="22"/>
                      <w:u w:val="none"/>
                      <w:lang w:val="en-US" w:eastAsia="zh-CN"/>
                    </w:rPr>
                    <w:t>S</w:t>
                  </w:r>
                  <w:r>
                    <w:rPr>
                      <w:rFonts w:hint="eastAsia" w:ascii="宋体" w:hAnsi="宋体" w:eastAsia="宋体" w:cs="宋体"/>
                      <w:i w:val="0"/>
                      <w:iCs w:val="0"/>
                      <w:color w:val="auto"/>
                      <w:sz w:val="22"/>
                      <w:szCs w:val="22"/>
                      <w:u w:val="none"/>
                      <w:lang w:eastAsia="zh-CN"/>
                    </w:rPr>
                    <w:t>，</w:t>
                  </w:r>
                  <w:r>
                    <w:rPr>
                      <w:rFonts w:hint="eastAsia" w:ascii="宋体" w:hAnsi="宋体" w:eastAsia="宋体" w:cs="宋体"/>
                      <w:i w:val="0"/>
                      <w:iCs w:val="0"/>
                      <w:color w:val="auto"/>
                      <w:kern w:val="0"/>
                      <w:sz w:val="22"/>
                      <w:szCs w:val="22"/>
                      <w:u w:val="none"/>
                      <w:lang w:val="en-US" w:eastAsia="zh-CN" w:bidi="ar"/>
                    </w:rPr>
                    <w:t>330~500m</w:t>
                  </w:r>
                </w:p>
              </w:tc>
              <w:tc>
                <w:tcPr>
                  <w:tcW w:w="1717" w:type="dxa"/>
                  <w:vMerge w:val="continue"/>
                  <w:tcBorders>
                    <w:tl2br w:val="nil"/>
                    <w:tr2bl w:val="nil"/>
                  </w:tcBorders>
                  <w:shd w:val="clear" w:color="auto" w:fill="auto"/>
                  <w:noWrap/>
                  <w:vAlign w:val="center"/>
                </w:tcPr>
                <w:p w14:paraId="04E8BCF6">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p>
              </w:tc>
            </w:tr>
            <w:tr w14:paraId="2AF8EB6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vMerge w:val="continue"/>
                  <w:tcBorders>
                    <w:tl2br w:val="nil"/>
                    <w:tr2bl w:val="nil"/>
                  </w:tcBorders>
                  <w:shd w:val="clear" w:color="auto" w:fill="auto"/>
                  <w:noWrap/>
                  <w:vAlign w:val="center"/>
                </w:tcPr>
                <w:p w14:paraId="4B422BDC">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p>
              </w:tc>
              <w:tc>
                <w:tcPr>
                  <w:tcW w:w="980" w:type="dxa"/>
                  <w:tcBorders>
                    <w:tl2br w:val="nil"/>
                    <w:tr2bl w:val="nil"/>
                  </w:tcBorders>
                  <w:shd w:val="clear" w:color="auto" w:fill="auto"/>
                  <w:noWrap/>
                  <w:vAlign w:val="center"/>
                </w:tcPr>
                <w:p w14:paraId="32944198">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岳阳四中</w:t>
                  </w:r>
                </w:p>
              </w:tc>
              <w:tc>
                <w:tcPr>
                  <w:tcW w:w="1576" w:type="dxa"/>
                  <w:tcBorders>
                    <w:tl2br w:val="nil"/>
                    <w:tr2bl w:val="nil"/>
                  </w:tcBorders>
                  <w:shd w:val="clear" w:color="auto" w:fill="auto"/>
                  <w:noWrap/>
                  <w:vAlign w:val="center"/>
                </w:tcPr>
                <w:p w14:paraId="06C4B000">
                  <w:pPr>
                    <w:keepNext w:val="0"/>
                    <w:keepLines w:val="0"/>
                    <w:widowControl/>
                    <w:suppressLineNumbers w:val="0"/>
                    <w:jc w:val="left"/>
                    <w:textAlignment w:val="center"/>
                    <w:rPr>
                      <w:rFonts w:hint="default"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E113.109081,N29.369494</w:t>
                  </w:r>
                </w:p>
              </w:tc>
              <w:tc>
                <w:tcPr>
                  <w:tcW w:w="1427" w:type="dxa"/>
                  <w:tcBorders>
                    <w:tl2br w:val="nil"/>
                    <w:tr2bl w:val="nil"/>
                  </w:tcBorders>
                  <w:shd w:val="clear" w:color="auto" w:fill="auto"/>
                  <w:noWrap/>
                  <w:vAlign w:val="center"/>
                </w:tcPr>
                <w:p w14:paraId="27245DCA">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师生约2500人</w:t>
                  </w:r>
                </w:p>
              </w:tc>
              <w:tc>
                <w:tcPr>
                  <w:tcW w:w="1383" w:type="dxa"/>
                  <w:tcBorders>
                    <w:tl2br w:val="nil"/>
                    <w:tr2bl w:val="nil"/>
                  </w:tcBorders>
                  <w:shd w:val="clear" w:color="auto" w:fill="auto"/>
                  <w:noWrap/>
                  <w:vAlign w:val="center"/>
                </w:tcPr>
                <w:p w14:paraId="1DA280BE">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清淤点</w:t>
                  </w:r>
                  <w:r>
                    <w:rPr>
                      <w:rFonts w:hint="eastAsia" w:ascii="宋体" w:hAnsi="宋体" w:eastAsia="宋体" w:cs="宋体"/>
                      <w:i w:val="0"/>
                      <w:iCs w:val="0"/>
                      <w:color w:val="auto"/>
                      <w:sz w:val="22"/>
                      <w:szCs w:val="22"/>
                      <w:u w:val="none"/>
                      <w:lang w:val="en-US" w:eastAsia="zh-CN"/>
                    </w:rPr>
                    <w:t>ES</w:t>
                  </w:r>
                  <w:r>
                    <w:rPr>
                      <w:rFonts w:hint="eastAsia" w:ascii="宋体" w:hAnsi="宋体" w:eastAsia="宋体" w:cs="宋体"/>
                      <w:i w:val="0"/>
                      <w:iCs w:val="0"/>
                      <w:color w:val="auto"/>
                      <w:sz w:val="22"/>
                      <w:szCs w:val="22"/>
                      <w:u w:val="none"/>
                      <w:lang w:eastAsia="zh-CN"/>
                    </w:rPr>
                    <w:t>，</w:t>
                  </w:r>
                  <w:r>
                    <w:rPr>
                      <w:rFonts w:hint="eastAsia" w:ascii="宋体" w:hAnsi="宋体" w:eastAsia="宋体" w:cs="宋体"/>
                      <w:i w:val="0"/>
                      <w:iCs w:val="0"/>
                      <w:color w:val="auto"/>
                      <w:kern w:val="0"/>
                      <w:sz w:val="22"/>
                      <w:szCs w:val="22"/>
                      <w:u w:val="none"/>
                      <w:lang w:val="en-US" w:eastAsia="zh-CN" w:bidi="ar"/>
                    </w:rPr>
                    <w:t>360~500m</w:t>
                  </w:r>
                </w:p>
              </w:tc>
              <w:tc>
                <w:tcPr>
                  <w:tcW w:w="1717" w:type="dxa"/>
                  <w:vMerge w:val="continue"/>
                  <w:tcBorders>
                    <w:tl2br w:val="nil"/>
                    <w:tr2bl w:val="nil"/>
                  </w:tcBorders>
                  <w:shd w:val="clear" w:color="auto" w:fill="auto"/>
                  <w:noWrap/>
                  <w:vAlign w:val="center"/>
                </w:tcPr>
                <w:p w14:paraId="7F20DF6F">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p>
              </w:tc>
            </w:tr>
            <w:tr w14:paraId="5BDCEC9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tcBorders>
                    <w:tl2br w:val="nil"/>
                    <w:tr2bl w:val="nil"/>
                  </w:tcBorders>
                  <w:shd w:val="clear" w:color="auto" w:fill="auto"/>
                  <w:noWrap/>
                  <w:vAlign w:val="center"/>
                </w:tcPr>
                <w:p w14:paraId="581B624B">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大气环境</w:t>
                  </w:r>
                  <w:r>
                    <w:rPr>
                      <w:rFonts w:hint="eastAsia" w:ascii="宋体" w:hAnsi="宋体" w:eastAsia="宋体" w:cs="宋体"/>
                      <w:i w:val="0"/>
                      <w:iCs w:val="0"/>
                      <w:color w:val="auto"/>
                      <w:sz w:val="22"/>
                      <w:szCs w:val="22"/>
                      <w:u w:val="none"/>
                      <w:lang w:val="en-US" w:eastAsia="zh-CN"/>
                    </w:rPr>
                    <w:t>+声环境</w:t>
                  </w:r>
                </w:p>
              </w:tc>
              <w:tc>
                <w:tcPr>
                  <w:tcW w:w="980" w:type="dxa"/>
                  <w:tcBorders>
                    <w:tl2br w:val="nil"/>
                    <w:tr2bl w:val="nil"/>
                  </w:tcBorders>
                  <w:shd w:val="clear" w:color="auto" w:fill="auto"/>
                  <w:noWrap/>
                  <w:vAlign w:val="center"/>
                </w:tcPr>
                <w:p w14:paraId="08DD03C1">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市氮小区、融创实验学校</w:t>
                  </w:r>
                </w:p>
              </w:tc>
              <w:tc>
                <w:tcPr>
                  <w:tcW w:w="1576" w:type="dxa"/>
                  <w:tcBorders>
                    <w:tl2br w:val="nil"/>
                    <w:tr2bl w:val="nil"/>
                  </w:tcBorders>
                  <w:shd w:val="clear" w:color="auto" w:fill="auto"/>
                  <w:noWrap/>
                  <w:vAlign w:val="center"/>
                </w:tcPr>
                <w:p w14:paraId="7421FA7B">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089892</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354209；</w:t>
                  </w: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090965</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353823；</w:t>
                  </w:r>
                </w:p>
              </w:tc>
              <w:tc>
                <w:tcPr>
                  <w:tcW w:w="1427" w:type="dxa"/>
                  <w:tcBorders>
                    <w:tl2br w:val="nil"/>
                    <w:tr2bl w:val="nil"/>
                  </w:tcBorders>
                  <w:shd w:val="clear" w:color="auto" w:fill="auto"/>
                  <w:noWrap/>
                  <w:vAlign w:val="center"/>
                </w:tcPr>
                <w:p w14:paraId="1B4CAD46">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约630户/1890人</w:t>
                  </w:r>
                </w:p>
                <w:p w14:paraId="091696B1">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师生约1700人</w:t>
                  </w:r>
                </w:p>
              </w:tc>
              <w:tc>
                <w:tcPr>
                  <w:tcW w:w="1383" w:type="dxa"/>
                  <w:tcBorders>
                    <w:tl2br w:val="nil"/>
                    <w:tr2bl w:val="nil"/>
                  </w:tcBorders>
                  <w:shd w:val="clear" w:color="auto" w:fill="auto"/>
                  <w:noWrap/>
                  <w:vAlign w:val="center"/>
                </w:tcPr>
                <w:p w14:paraId="3719BFCD">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cs="宋体"/>
                      <w:i w:val="0"/>
                      <w:iCs w:val="0"/>
                      <w:color w:val="auto"/>
                      <w:sz w:val="22"/>
                      <w:szCs w:val="22"/>
                      <w:u w:val="none"/>
                      <w:lang w:eastAsia="zh-CN"/>
                    </w:rPr>
                    <w:t>管道施工</w:t>
                  </w:r>
                  <w:r>
                    <w:rPr>
                      <w:rFonts w:hint="eastAsia" w:ascii="宋体" w:hAnsi="宋体" w:eastAsia="宋体" w:cs="宋体"/>
                      <w:i w:val="0"/>
                      <w:iCs w:val="0"/>
                      <w:color w:val="auto"/>
                      <w:sz w:val="22"/>
                      <w:szCs w:val="22"/>
                      <w:u w:val="none"/>
                      <w:lang w:val="en-US" w:eastAsia="zh-CN"/>
                    </w:rPr>
                    <w:t>四周</w:t>
                  </w:r>
                  <w:r>
                    <w:rPr>
                      <w:rFonts w:hint="eastAsia" w:ascii="宋体" w:hAnsi="宋体" w:eastAsia="宋体" w:cs="宋体"/>
                      <w:i w:val="0"/>
                      <w:iCs w:val="0"/>
                      <w:color w:val="auto"/>
                      <w:sz w:val="22"/>
                      <w:szCs w:val="22"/>
                      <w:u w:val="none"/>
                      <w:lang w:eastAsia="zh-CN"/>
                    </w:rPr>
                    <w:t>，</w:t>
                  </w:r>
                  <w:r>
                    <w:rPr>
                      <w:rFonts w:hint="eastAsia" w:ascii="宋体" w:hAnsi="宋体" w:eastAsia="宋体" w:cs="宋体"/>
                      <w:i w:val="0"/>
                      <w:iCs w:val="0"/>
                      <w:color w:val="auto"/>
                      <w:kern w:val="0"/>
                      <w:sz w:val="22"/>
                      <w:szCs w:val="22"/>
                      <w:u w:val="none"/>
                      <w:lang w:val="en-US" w:eastAsia="zh-CN" w:bidi="ar"/>
                    </w:rPr>
                    <w:t>20~200m</w:t>
                  </w:r>
                </w:p>
              </w:tc>
              <w:tc>
                <w:tcPr>
                  <w:tcW w:w="1717" w:type="dxa"/>
                  <w:tcBorders>
                    <w:tl2br w:val="nil"/>
                    <w:tr2bl w:val="nil"/>
                  </w:tcBorders>
                  <w:shd w:val="clear" w:color="auto" w:fill="auto"/>
                  <w:noWrap/>
                  <w:vAlign w:val="center"/>
                </w:tcPr>
                <w:p w14:paraId="33B11860">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声环境：（GB3096）2类；大气环境：（GB3095）二级</w:t>
                  </w:r>
                </w:p>
              </w:tc>
            </w:tr>
            <w:tr w14:paraId="0F5674F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vMerge w:val="restart"/>
                  <w:tcBorders>
                    <w:tl2br w:val="nil"/>
                    <w:tr2bl w:val="nil"/>
                  </w:tcBorders>
                  <w:shd w:val="clear" w:color="auto" w:fill="auto"/>
                  <w:noWrap/>
                  <w:vAlign w:val="center"/>
                </w:tcPr>
                <w:p w14:paraId="536C6B0C">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大气环境</w:t>
                  </w:r>
                </w:p>
              </w:tc>
              <w:tc>
                <w:tcPr>
                  <w:tcW w:w="980" w:type="dxa"/>
                  <w:tcBorders>
                    <w:tl2br w:val="nil"/>
                    <w:tr2bl w:val="nil"/>
                  </w:tcBorders>
                  <w:shd w:val="clear" w:color="auto" w:fill="auto"/>
                  <w:noWrap/>
                  <w:vAlign w:val="center"/>
                </w:tcPr>
                <w:p w14:paraId="54A087AB">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环球融创</w:t>
                  </w:r>
                </w:p>
              </w:tc>
              <w:tc>
                <w:tcPr>
                  <w:tcW w:w="1576" w:type="dxa"/>
                  <w:tcBorders>
                    <w:tl2br w:val="nil"/>
                    <w:tr2bl w:val="nil"/>
                  </w:tcBorders>
                  <w:shd w:val="clear" w:color="auto" w:fill="auto"/>
                  <w:noWrap/>
                  <w:vAlign w:val="center"/>
                </w:tcPr>
                <w:p w14:paraId="4B138798">
                  <w:pPr>
                    <w:keepNext w:val="0"/>
                    <w:keepLines w:val="0"/>
                    <w:widowControl/>
                    <w:suppressLineNumbers w:val="0"/>
                    <w:jc w:val="left"/>
                    <w:textAlignment w:val="center"/>
                    <w:rPr>
                      <w:rFonts w:hint="default"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E113.087430,N29.354603</w:t>
                  </w:r>
                </w:p>
              </w:tc>
              <w:tc>
                <w:tcPr>
                  <w:tcW w:w="1427" w:type="dxa"/>
                  <w:tcBorders>
                    <w:tl2br w:val="nil"/>
                    <w:tr2bl w:val="nil"/>
                  </w:tcBorders>
                  <w:shd w:val="clear" w:color="auto" w:fill="auto"/>
                  <w:noWrap/>
                  <w:vAlign w:val="center"/>
                </w:tcPr>
                <w:p w14:paraId="313D6494">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约2300户/7000人</w:t>
                  </w:r>
                </w:p>
              </w:tc>
              <w:tc>
                <w:tcPr>
                  <w:tcW w:w="1383" w:type="dxa"/>
                  <w:tcBorders>
                    <w:tl2br w:val="nil"/>
                    <w:tr2bl w:val="nil"/>
                  </w:tcBorders>
                  <w:shd w:val="clear" w:color="auto" w:fill="auto"/>
                  <w:noWrap/>
                  <w:vAlign w:val="center"/>
                </w:tcPr>
                <w:p w14:paraId="7A8897ED">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清淤点</w:t>
                  </w:r>
                  <w:r>
                    <w:rPr>
                      <w:rFonts w:hint="eastAsia" w:ascii="宋体" w:hAnsi="宋体" w:eastAsia="宋体" w:cs="宋体"/>
                      <w:i w:val="0"/>
                      <w:iCs w:val="0"/>
                      <w:color w:val="auto"/>
                      <w:sz w:val="22"/>
                      <w:szCs w:val="22"/>
                      <w:u w:val="none"/>
                      <w:lang w:val="en-US" w:eastAsia="zh-CN"/>
                    </w:rPr>
                    <w:t>W、N</w:t>
                  </w:r>
                  <w:r>
                    <w:rPr>
                      <w:rFonts w:hint="eastAsia" w:ascii="宋体" w:hAnsi="宋体" w:eastAsia="宋体" w:cs="宋体"/>
                      <w:i w:val="0"/>
                      <w:iCs w:val="0"/>
                      <w:color w:val="auto"/>
                      <w:sz w:val="22"/>
                      <w:szCs w:val="22"/>
                      <w:u w:val="none"/>
                      <w:lang w:eastAsia="zh-CN"/>
                    </w:rPr>
                    <w:t>，</w:t>
                  </w:r>
                  <w:r>
                    <w:rPr>
                      <w:rFonts w:hint="eastAsia" w:ascii="宋体" w:hAnsi="宋体" w:eastAsia="宋体" w:cs="宋体"/>
                      <w:i w:val="0"/>
                      <w:iCs w:val="0"/>
                      <w:color w:val="auto"/>
                      <w:kern w:val="0"/>
                      <w:sz w:val="22"/>
                      <w:szCs w:val="22"/>
                      <w:u w:val="none"/>
                      <w:lang w:val="en-US" w:eastAsia="zh-CN" w:bidi="ar"/>
                    </w:rPr>
                    <w:t>200~500m</w:t>
                  </w:r>
                </w:p>
              </w:tc>
              <w:tc>
                <w:tcPr>
                  <w:tcW w:w="1717" w:type="dxa"/>
                  <w:tcBorders>
                    <w:tl2br w:val="nil"/>
                    <w:tr2bl w:val="nil"/>
                  </w:tcBorders>
                  <w:shd w:val="clear" w:color="auto" w:fill="auto"/>
                  <w:noWrap/>
                  <w:vAlign w:val="center"/>
                </w:tcPr>
                <w:p w14:paraId="08949A72">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大气环境：（GB3095）二级</w:t>
                  </w:r>
                </w:p>
              </w:tc>
            </w:tr>
            <w:tr w14:paraId="64C29CA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vMerge w:val="continue"/>
                  <w:tcBorders>
                    <w:tl2br w:val="nil"/>
                    <w:tr2bl w:val="nil"/>
                  </w:tcBorders>
                  <w:shd w:val="clear" w:color="auto" w:fill="auto"/>
                  <w:noWrap/>
                  <w:vAlign w:val="center"/>
                </w:tcPr>
                <w:p w14:paraId="1EDD5975">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p>
              </w:tc>
              <w:tc>
                <w:tcPr>
                  <w:tcW w:w="980" w:type="dxa"/>
                  <w:tcBorders>
                    <w:tl2br w:val="nil"/>
                    <w:tr2bl w:val="nil"/>
                  </w:tcBorders>
                  <w:shd w:val="clear" w:color="auto" w:fill="auto"/>
                  <w:noWrap/>
                  <w:vAlign w:val="center"/>
                </w:tcPr>
                <w:p w14:paraId="3AA87C60">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恒大南湖半岛</w:t>
                  </w:r>
                </w:p>
              </w:tc>
              <w:tc>
                <w:tcPr>
                  <w:tcW w:w="1576" w:type="dxa"/>
                  <w:tcBorders>
                    <w:tl2br w:val="nil"/>
                    <w:tr2bl w:val="nil"/>
                  </w:tcBorders>
                  <w:shd w:val="clear" w:color="auto" w:fill="auto"/>
                  <w:noWrap/>
                  <w:vAlign w:val="center"/>
                </w:tcPr>
                <w:p w14:paraId="53F3FCFB">
                  <w:pPr>
                    <w:keepNext w:val="0"/>
                    <w:keepLines w:val="0"/>
                    <w:widowControl/>
                    <w:suppressLineNumbers w:val="0"/>
                    <w:jc w:val="left"/>
                    <w:textAlignment w:val="center"/>
                    <w:rPr>
                      <w:rFonts w:hint="default"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E113.087350,N29.351835</w:t>
                  </w:r>
                </w:p>
              </w:tc>
              <w:tc>
                <w:tcPr>
                  <w:tcW w:w="1427" w:type="dxa"/>
                  <w:tcBorders>
                    <w:tl2br w:val="nil"/>
                    <w:tr2bl w:val="nil"/>
                  </w:tcBorders>
                  <w:shd w:val="clear" w:color="auto" w:fill="auto"/>
                  <w:noWrap/>
                  <w:vAlign w:val="center"/>
                </w:tcPr>
                <w:p w14:paraId="18B5E6F8">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约3000户/9000人</w:t>
                  </w:r>
                </w:p>
              </w:tc>
              <w:tc>
                <w:tcPr>
                  <w:tcW w:w="1383" w:type="dxa"/>
                  <w:tcBorders>
                    <w:tl2br w:val="nil"/>
                    <w:tr2bl w:val="nil"/>
                  </w:tcBorders>
                  <w:shd w:val="clear" w:color="auto" w:fill="auto"/>
                  <w:noWrap/>
                  <w:vAlign w:val="center"/>
                </w:tcPr>
                <w:p w14:paraId="5EC7F444">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清淤点</w:t>
                  </w:r>
                  <w:r>
                    <w:rPr>
                      <w:rFonts w:hint="eastAsia" w:ascii="宋体" w:hAnsi="宋体" w:eastAsia="宋体" w:cs="宋体"/>
                      <w:i w:val="0"/>
                      <w:iCs w:val="0"/>
                      <w:color w:val="auto"/>
                      <w:sz w:val="22"/>
                      <w:szCs w:val="22"/>
                      <w:u w:val="none"/>
                      <w:lang w:val="en-US" w:eastAsia="zh-CN"/>
                    </w:rPr>
                    <w:t>WS</w:t>
                  </w:r>
                  <w:r>
                    <w:rPr>
                      <w:rFonts w:hint="eastAsia" w:ascii="宋体" w:hAnsi="宋体" w:eastAsia="宋体" w:cs="宋体"/>
                      <w:i w:val="0"/>
                      <w:iCs w:val="0"/>
                      <w:color w:val="auto"/>
                      <w:sz w:val="22"/>
                      <w:szCs w:val="22"/>
                      <w:u w:val="none"/>
                      <w:lang w:eastAsia="zh-CN"/>
                    </w:rPr>
                    <w:t>，</w:t>
                  </w:r>
                  <w:r>
                    <w:rPr>
                      <w:rFonts w:hint="eastAsia" w:ascii="宋体" w:hAnsi="宋体" w:eastAsia="宋体" w:cs="宋体"/>
                      <w:i w:val="0"/>
                      <w:iCs w:val="0"/>
                      <w:color w:val="auto"/>
                      <w:kern w:val="0"/>
                      <w:sz w:val="22"/>
                      <w:szCs w:val="22"/>
                      <w:u w:val="none"/>
                      <w:lang w:val="en-US" w:eastAsia="zh-CN" w:bidi="ar"/>
                    </w:rPr>
                    <w:t>200~500m</w:t>
                  </w:r>
                </w:p>
              </w:tc>
              <w:tc>
                <w:tcPr>
                  <w:tcW w:w="1717" w:type="dxa"/>
                  <w:tcBorders>
                    <w:tl2br w:val="nil"/>
                    <w:tr2bl w:val="nil"/>
                  </w:tcBorders>
                  <w:shd w:val="clear" w:color="auto" w:fill="auto"/>
                  <w:noWrap/>
                  <w:vAlign w:val="center"/>
                </w:tcPr>
                <w:p w14:paraId="5EBFADE8">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大气环境：（GB3095）二级</w:t>
                  </w:r>
                </w:p>
              </w:tc>
            </w:tr>
            <w:tr w14:paraId="7D284A6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vMerge w:val="continue"/>
                  <w:tcBorders>
                    <w:tl2br w:val="nil"/>
                    <w:tr2bl w:val="nil"/>
                  </w:tcBorders>
                  <w:shd w:val="clear" w:color="auto" w:fill="auto"/>
                  <w:noWrap/>
                  <w:vAlign w:val="center"/>
                </w:tcPr>
                <w:p w14:paraId="6AFB9593">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p>
              </w:tc>
              <w:tc>
                <w:tcPr>
                  <w:tcW w:w="980" w:type="dxa"/>
                  <w:tcBorders>
                    <w:tl2br w:val="nil"/>
                    <w:tr2bl w:val="nil"/>
                  </w:tcBorders>
                  <w:shd w:val="clear" w:color="auto" w:fill="auto"/>
                  <w:noWrap/>
                  <w:vAlign w:val="center"/>
                </w:tcPr>
                <w:p w14:paraId="156D63A6">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云梦新城</w:t>
                  </w:r>
                </w:p>
              </w:tc>
              <w:tc>
                <w:tcPr>
                  <w:tcW w:w="1576" w:type="dxa"/>
                  <w:tcBorders>
                    <w:tl2br w:val="nil"/>
                    <w:tr2bl w:val="nil"/>
                  </w:tcBorders>
                  <w:shd w:val="clear" w:color="auto" w:fill="auto"/>
                  <w:noWrap/>
                  <w:vAlign w:val="center"/>
                </w:tcPr>
                <w:p w14:paraId="0F59E150">
                  <w:pPr>
                    <w:keepNext w:val="0"/>
                    <w:keepLines w:val="0"/>
                    <w:widowControl/>
                    <w:suppressLineNumbers w:val="0"/>
                    <w:jc w:val="left"/>
                    <w:textAlignment w:val="center"/>
                    <w:rPr>
                      <w:rFonts w:hint="default"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E113.093642,N29.358002</w:t>
                  </w:r>
                </w:p>
              </w:tc>
              <w:tc>
                <w:tcPr>
                  <w:tcW w:w="1427" w:type="dxa"/>
                  <w:tcBorders>
                    <w:tl2br w:val="nil"/>
                    <w:tr2bl w:val="nil"/>
                  </w:tcBorders>
                  <w:shd w:val="clear" w:color="auto" w:fill="auto"/>
                  <w:noWrap/>
                  <w:vAlign w:val="center"/>
                </w:tcPr>
                <w:p w14:paraId="22D94376">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约130户/390人</w:t>
                  </w:r>
                </w:p>
              </w:tc>
              <w:tc>
                <w:tcPr>
                  <w:tcW w:w="1383" w:type="dxa"/>
                  <w:tcBorders>
                    <w:tl2br w:val="nil"/>
                    <w:tr2bl w:val="nil"/>
                  </w:tcBorders>
                  <w:shd w:val="clear" w:color="auto" w:fill="auto"/>
                  <w:noWrap/>
                  <w:vAlign w:val="center"/>
                </w:tcPr>
                <w:p w14:paraId="514E8F7C">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清淤点</w:t>
                  </w:r>
                  <w:r>
                    <w:rPr>
                      <w:rFonts w:hint="eastAsia" w:ascii="宋体" w:hAnsi="宋体" w:eastAsia="宋体" w:cs="宋体"/>
                      <w:i w:val="0"/>
                      <w:iCs w:val="0"/>
                      <w:color w:val="auto"/>
                      <w:sz w:val="22"/>
                      <w:szCs w:val="22"/>
                      <w:u w:val="none"/>
                      <w:lang w:val="en-US" w:eastAsia="zh-CN"/>
                    </w:rPr>
                    <w:t>W、N</w:t>
                  </w:r>
                  <w:r>
                    <w:rPr>
                      <w:rFonts w:hint="eastAsia" w:ascii="宋体" w:hAnsi="宋体" w:eastAsia="宋体" w:cs="宋体"/>
                      <w:i w:val="0"/>
                      <w:iCs w:val="0"/>
                      <w:color w:val="auto"/>
                      <w:sz w:val="22"/>
                      <w:szCs w:val="22"/>
                      <w:u w:val="none"/>
                      <w:lang w:eastAsia="zh-CN"/>
                    </w:rPr>
                    <w:t>，</w:t>
                  </w:r>
                  <w:r>
                    <w:rPr>
                      <w:rFonts w:hint="eastAsia" w:ascii="宋体" w:hAnsi="宋体" w:eastAsia="宋体" w:cs="宋体"/>
                      <w:i w:val="0"/>
                      <w:iCs w:val="0"/>
                      <w:color w:val="auto"/>
                      <w:kern w:val="0"/>
                      <w:sz w:val="22"/>
                      <w:szCs w:val="22"/>
                      <w:u w:val="none"/>
                      <w:lang w:val="en-US" w:eastAsia="zh-CN" w:bidi="ar"/>
                    </w:rPr>
                    <w:t>400~500m</w:t>
                  </w:r>
                </w:p>
              </w:tc>
              <w:tc>
                <w:tcPr>
                  <w:tcW w:w="1717" w:type="dxa"/>
                  <w:tcBorders>
                    <w:tl2br w:val="nil"/>
                    <w:tr2bl w:val="nil"/>
                  </w:tcBorders>
                  <w:shd w:val="clear" w:color="auto" w:fill="auto"/>
                  <w:noWrap/>
                  <w:vAlign w:val="center"/>
                </w:tcPr>
                <w:p w14:paraId="1BDF46BF">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大气环境：（GB3095）二级</w:t>
                  </w:r>
                </w:p>
              </w:tc>
            </w:tr>
            <w:tr w14:paraId="490FE08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tcBorders>
                    <w:tl2br w:val="nil"/>
                    <w:tr2bl w:val="nil"/>
                  </w:tcBorders>
                  <w:shd w:val="clear" w:color="auto" w:fill="auto"/>
                  <w:noWrap/>
                  <w:vAlign w:val="center"/>
                </w:tcPr>
                <w:p w14:paraId="59C92797">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大气环境</w:t>
                  </w:r>
                  <w:r>
                    <w:rPr>
                      <w:rFonts w:hint="eastAsia" w:ascii="宋体" w:hAnsi="宋体" w:eastAsia="宋体" w:cs="宋体"/>
                      <w:i w:val="0"/>
                      <w:iCs w:val="0"/>
                      <w:color w:val="auto"/>
                      <w:sz w:val="22"/>
                      <w:szCs w:val="22"/>
                      <w:u w:val="none"/>
                      <w:lang w:val="en-US" w:eastAsia="zh-CN"/>
                    </w:rPr>
                    <w:t>+声环境</w:t>
                  </w:r>
                </w:p>
              </w:tc>
              <w:tc>
                <w:tcPr>
                  <w:tcW w:w="980" w:type="dxa"/>
                  <w:tcBorders>
                    <w:tl2br w:val="nil"/>
                    <w:tr2bl w:val="nil"/>
                  </w:tcBorders>
                  <w:shd w:val="clear" w:color="auto" w:fill="auto"/>
                  <w:noWrap/>
                  <w:vAlign w:val="center"/>
                </w:tcPr>
                <w:p w14:paraId="41339C21">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万隆花园、裕丰公园大邸</w:t>
                  </w:r>
                </w:p>
              </w:tc>
              <w:tc>
                <w:tcPr>
                  <w:tcW w:w="1576" w:type="dxa"/>
                  <w:tcBorders>
                    <w:tl2br w:val="nil"/>
                    <w:tr2bl w:val="nil"/>
                  </w:tcBorders>
                  <w:shd w:val="clear" w:color="auto" w:fill="auto"/>
                  <w:noWrap/>
                  <w:vAlign w:val="center"/>
                </w:tcPr>
                <w:p w14:paraId="78DB3448">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106882</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357712；</w:t>
                  </w: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107933</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359676；</w:t>
                  </w:r>
                </w:p>
              </w:tc>
              <w:tc>
                <w:tcPr>
                  <w:tcW w:w="1427" w:type="dxa"/>
                  <w:tcBorders>
                    <w:tl2br w:val="nil"/>
                    <w:tr2bl w:val="nil"/>
                  </w:tcBorders>
                  <w:shd w:val="clear" w:color="auto" w:fill="auto"/>
                  <w:noWrap/>
                  <w:vAlign w:val="center"/>
                </w:tcPr>
                <w:p w14:paraId="2BE73A54">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约1080户/4100人</w:t>
                  </w:r>
                </w:p>
              </w:tc>
              <w:tc>
                <w:tcPr>
                  <w:tcW w:w="1383" w:type="dxa"/>
                  <w:tcBorders>
                    <w:tl2br w:val="nil"/>
                    <w:tr2bl w:val="nil"/>
                  </w:tcBorders>
                  <w:shd w:val="clear" w:color="auto" w:fill="auto"/>
                  <w:noWrap/>
                  <w:vAlign w:val="center"/>
                </w:tcPr>
                <w:p w14:paraId="7ADBA5E4">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清淤点</w:t>
                  </w:r>
                  <w:r>
                    <w:rPr>
                      <w:rFonts w:hint="eastAsia" w:ascii="宋体" w:hAnsi="宋体" w:eastAsia="宋体" w:cs="宋体"/>
                      <w:i w:val="0"/>
                      <w:iCs w:val="0"/>
                      <w:color w:val="auto"/>
                      <w:sz w:val="22"/>
                      <w:szCs w:val="22"/>
                      <w:u w:val="none"/>
                      <w:lang w:val="en-US" w:eastAsia="zh-CN"/>
                    </w:rPr>
                    <w:t>W、N</w:t>
                  </w:r>
                  <w:r>
                    <w:rPr>
                      <w:rFonts w:hint="eastAsia" w:ascii="宋体" w:hAnsi="宋体" w:eastAsia="宋体" w:cs="宋体"/>
                      <w:i w:val="0"/>
                      <w:iCs w:val="0"/>
                      <w:color w:val="auto"/>
                      <w:sz w:val="22"/>
                      <w:szCs w:val="22"/>
                      <w:u w:val="none"/>
                      <w:lang w:eastAsia="zh-CN"/>
                    </w:rPr>
                    <w:t>，</w:t>
                  </w:r>
                  <w:r>
                    <w:rPr>
                      <w:rFonts w:hint="eastAsia" w:ascii="宋体" w:hAnsi="宋体" w:eastAsia="宋体" w:cs="宋体"/>
                      <w:i w:val="0"/>
                      <w:iCs w:val="0"/>
                      <w:color w:val="auto"/>
                      <w:kern w:val="0"/>
                      <w:sz w:val="22"/>
                      <w:szCs w:val="22"/>
                      <w:u w:val="none"/>
                      <w:lang w:val="en-US" w:eastAsia="zh-CN" w:bidi="ar"/>
                    </w:rPr>
                    <w:t>20~500m</w:t>
                  </w:r>
                </w:p>
              </w:tc>
              <w:tc>
                <w:tcPr>
                  <w:tcW w:w="1717" w:type="dxa"/>
                  <w:tcBorders>
                    <w:tl2br w:val="nil"/>
                    <w:tr2bl w:val="nil"/>
                  </w:tcBorders>
                  <w:shd w:val="clear" w:color="auto" w:fill="auto"/>
                  <w:noWrap/>
                  <w:vAlign w:val="center"/>
                </w:tcPr>
                <w:p w14:paraId="1255D13B">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声环境：（GB3096）2类；大气环境：（GB3095）二级</w:t>
                  </w:r>
                </w:p>
              </w:tc>
            </w:tr>
            <w:tr w14:paraId="4193374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vMerge w:val="restart"/>
                  <w:tcBorders>
                    <w:tl2br w:val="nil"/>
                    <w:tr2bl w:val="nil"/>
                  </w:tcBorders>
                  <w:shd w:val="clear" w:color="auto" w:fill="auto"/>
                  <w:noWrap/>
                  <w:vAlign w:val="center"/>
                </w:tcPr>
                <w:p w14:paraId="3F24ECF0">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大气环境</w:t>
                  </w:r>
                </w:p>
              </w:tc>
              <w:tc>
                <w:tcPr>
                  <w:tcW w:w="980" w:type="dxa"/>
                  <w:tcBorders>
                    <w:tl2br w:val="nil"/>
                    <w:tr2bl w:val="nil"/>
                  </w:tcBorders>
                  <w:shd w:val="clear" w:color="auto" w:fill="auto"/>
                  <w:noWrap/>
                  <w:vAlign w:val="center"/>
                </w:tcPr>
                <w:p w14:paraId="126CEDDA">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金地小区</w:t>
                  </w:r>
                </w:p>
              </w:tc>
              <w:tc>
                <w:tcPr>
                  <w:tcW w:w="1576" w:type="dxa"/>
                  <w:tcBorders>
                    <w:tl2br w:val="nil"/>
                    <w:tr2bl w:val="nil"/>
                  </w:tcBorders>
                  <w:shd w:val="clear" w:color="auto" w:fill="auto"/>
                  <w:noWrap/>
                  <w:vAlign w:val="center"/>
                </w:tcPr>
                <w:p w14:paraId="7F1B2DA1">
                  <w:pPr>
                    <w:keepNext w:val="0"/>
                    <w:keepLines w:val="0"/>
                    <w:widowControl/>
                    <w:suppressLineNumbers w:val="0"/>
                    <w:jc w:val="left"/>
                    <w:textAlignment w:val="center"/>
                    <w:rPr>
                      <w:rFonts w:hint="default"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E113.111001,N29.361130</w:t>
                  </w:r>
                </w:p>
              </w:tc>
              <w:tc>
                <w:tcPr>
                  <w:tcW w:w="1427" w:type="dxa"/>
                  <w:tcBorders>
                    <w:tl2br w:val="nil"/>
                    <w:tr2bl w:val="nil"/>
                  </w:tcBorders>
                  <w:shd w:val="clear" w:color="auto" w:fill="auto"/>
                  <w:noWrap/>
                  <w:vAlign w:val="center"/>
                </w:tcPr>
                <w:p w14:paraId="25E46BC5">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约96户/290人</w:t>
                  </w:r>
                </w:p>
              </w:tc>
              <w:tc>
                <w:tcPr>
                  <w:tcW w:w="1383" w:type="dxa"/>
                  <w:tcBorders>
                    <w:tl2br w:val="nil"/>
                    <w:tr2bl w:val="nil"/>
                  </w:tcBorders>
                  <w:shd w:val="clear" w:color="auto" w:fill="auto"/>
                  <w:noWrap/>
                  <w:vAlign w:val="center"/>
                </w:tcPr>
                <w:p w14:paraId="6F5CEBFC">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清淤点</w:t>
                  </w:r>
                  <w:r>
                    <w:rPr>
                      <w:rFonts w:hint="eastAsia" w:ascii="宋体" w:hAnsi="宋体" w:eastAsia="宋体" w:cs="宋体"/>
                      <w:i w:val="0"/>
                      <w:iCs w:val="0"/>
                      <w:color w:val="auto"/>
                      <w:sz w:val="22"/>
                      <w:szCs w:val="22"/>
                      <w:u w:val="none"/>
                      <w:lang w:val="en-US" w:eastAsia="zh-CN"/>
                    </w:rPr>
                    <w:t>N</w:t>
                  </w:r>
                  <w:r>
                    <w:rPr>
                      <w:rFonts w:hint="eastAsia" w:ascii="宋体" w:hAnsi="宋体" w:eastAsia="宋体" w:cs="宋体"/>
                      <w:i w:val="0"/>
                      <w:iCs w:val="0"/>
                      <w:color w:val="auto"/>
                      <w:sz w:val="22"/>
                      <w:szCs w:val="22"/>
                      <w:u w:val="none"/>
                      <w:lang w:eastAsia="zh-CN"/>
                    </w:rPr>
                    <w:t>，</w:t>
                  </w:r>
                  <w:r>
                    <w:rPr>
                      <w:rFonts w:hint="eastAsia" w:ascii="宋体" w:hAnsi="宋体" w:eastAsia="宋体" w:cs="宋体"/>
                      <w:i w:val="0"/>
                      <w:iCs w:val="0"/>
                      <w:color w:val="auto"/>
                      <w:kern w:val="0"/>
                      <w:sz w:val="22"/>
                      <w:szCs w:val="22"/>
                      <w:u w:val="none"/>
                      <w:lang w:val="en-US" w:eastAsia="zh-CN" w:bidi="ar"/>
                    </w:rPr>
                    <w:t>270~500m</w:t>
                  </w:r>
                </w:p>
              </w:tc>
              <w:tc>
                <w:tcPr>
                  <w:tcW w:w="1717" w:type="dxa"/>
                  <w:tcBorders>
                    <w:tl2br w:val="nil"/>
                    <w:tr2bl w:val="nil"/>
                  </w:tcBorders>
                  <w:shd w:val="clear" w:color="auto" w:fill="auto"/>
                  <w:noWrap/>
                  <w:vAlign w:val="center"/>
                </w:tcPr>
                <w:p w14:paraId="46AD1311">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大气环境：（GB3095）二级</w:t>
                  </w:r>
                </w:p>
              </w:tc>
            </w:tr>
            <w:tr w14:paraId="3351DBB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vMerge w:val="continue"/>
                  <w:tcBorders>
                    <w:tl2br w:val="nil"/>
                    <w:tr2bl w:val="nil"/>
                  </w:tcBorders>
                  <w:shd w:val="clear" w:color="auto" w:fill="auto"/>
                  <w:noWrap/>
                  <w:vAlign w:val="center"/>
                </w:tcPr>
                <w:p w14:paraId="7C47A823">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p>
              </w:tc>
              <w:tc>
                <w:tcPr>
                  <w:tcW w:w="980" w:type="dxa"/>
                  <w:tcBorders>
                    <w:tl2br w:val="nil"/>
                    <w:tr2bl w:val="nil"/>
                  </w:tcBorders>
                  <w:shd w:val="clear" w:color="auto" w:fill="auto"/>
                  <w:noWrap/>
                  <w:vAlign w:val="center"/>
                </w:tcPr>
                <w:p w14:paraId="33ED9329">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名门世家</w:t>
                  </w:r>
                </w:p>
              </w:tc>
              <w:tc>
                <w:tcPr>
                  <w:tcW w:w="1576" w:type="dxa"/>
                  <w:tcBorders>
                    <w:tl2br w:val="nil"/>
                    <w:tr2bl w:val="nil"/>
                  </w:tcBorders>
                  <w:shd w:val="clear" w:color="auto" w:fill="auto"/>
                  <w:noWrap/>
                  <w:vAlign w:val="center"/>
                </w:tcPr>
                <w:p w14:paraId="74E09D35">
                  <w:pPr>
                    <w:keepNext w:val="0"/>
                    <w:keepLines w:val="0"/>
                    <w:widowControl/>
                    <w:suppressLineNumbers w:val="0"/>
                    <w:jc w:val="left"/>
                    <w:textAlignment w:val="center"/>
                    <w:rPr>
                      <w:rFonts w:hint="default"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E113.109778,N29.356455</w:t>
                  </w:r>
                </w:p>
              </w:tc>
              <w:tc>
                <w:tcPr>
                  <w:tcW w:w="1427" w:type="dxa"/>
                  <w:tcBorders>
                    <w:tl2br w:val="nil"/>
                    <w:tr2bl w:val="nil"/>
                  </w:tcBorders>
                  <w:shd w:val="clear" w:color="auto" w:fill="auto"/>
                  <w:noWrap/>
                  <w:vAlign w:val="center"/>
                </w:tcPr>
                <w:p w14:paraId="707716AE">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约410户/1200人</w:t>
                  </w:r>
                </w:p>
              </w:tc>
              <w:tc>
                <w:tcPr>
                  <w:tcW w:w="1383" w:type="dxa"/>
                  <w:tcBorders>
                    <w:tl2br w:val="nil"/>
                    <w:tr2bl w:val="nil"/>
                  </w:tcBorders>
                  <w:shd w:val="clear" w:color="auto" w:fill="auto"/>
                  <w:noWrap/>
                  <w:vAlign w:val="center"/>
                </w:tcPr>
                <w:p w14:paraId="10A46CEA">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清淤点</w:t>
                  </w:r>
                  <w:r>
                    <w:rPr>
                      <w:rFonts w:hint="eastAsia" w:ascii="宋体" w:hAnsi="宋体" w:eastAsia="宋体" w:cs="宋体"/>
                      <w:i w:val="0"/>
                      <w:iCs w:val="0"/>
                      <w:color w:val="auto"/>
                      <w:sz w:val="22"/>
                      <w:szCs w:val="22"/>
                      <w:u w:val="none"/>
                      <w:lang w:val="en-US" w:eastAsia="zh-CN"/>
                    </w:rPr>
                    <w:t>S</w:t>
                  </w:r>
                  <w:r>
                    <w:rPr>
                      <w:rFonts w:hint="eastAsia" w:ascii="宋体" w:hAnsi="宋体" w:eastAsia="宋体" w:cs="宋体"/>
                      <w:i w:val="0"/>
                      <w:iCs w:val="0"/>
                      <w:color w:val="auto"/>
                      <w:sz w:val="22"/>
                      <w:szCs w:val="22"/>
                      <w:u w:val="none"/>
                      <w:lang w:eastAsia="zh-CN"/>
                    </w:rPr>
                    <w:t>，</w:t>
                  </w:r>
                  <w:r>
                    <w:rPr>
                      <w:rFonts w:hint="eastAsia" w:ascii="宋体" w:hAnsi="宋体" w:eastAsia="宋体" w:cs="宋体"/>
                      <w:i w:val="0"/>
                      <w:iCs w:val="0"/>
                      <w:color w:val="auto"/>
                      <w:kern w:val="0"/>
                      <w:sz w:val="22"/>
                      <w:szCs w:val="22"/>
                      <w:u w:val="none"/>
                      <w:lang w:val="en-US" w:eastAsia="zh-CN" w:bidi="ar"/>
                    </w:rPr>
                    <w:t>200~500m</w:t>
                  </w:r>
                </w:p>
              </w:tc>
              <w:tc>
                <w:tcPr>
                  <w:tcW w:w="1717" w:type="dxa"/>
                  <w:tcBorders>
                    <w:tl2br w:val="nil"/>
                    <w:tr2bl w:val="nil"/>
                  </w:tcBorders>
                  <w:shd w:val="clear" w:color="auto" w:fill="auto"/>
                  <w:noWrap/>
                  <w:vAlign w:val="center"/>
                </w:tcPr>
                <w:p w14:paraId="322EECBA">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大气环境：（GB3095）二级</w:t>
                  </w:r>
                </w:p>
              </w:tc>
            </w:tr>
            <w:tr w14:paraId="5859957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vMerge w:val="continue"/>
                  <w:tcBorders>
                    <w:tl2br w:val="nil"/>
                    <w:tr2bl w:val="nil"/>
                  </w:tcBorders>
                  <w:shd w:val="clear" w:color="auto" w:fill="auto"/>
                  <w:noWrap/>
                  <w:vAlign w:val="center"/>
                </w:tcPr>
                <w:p w14:paraId="3A086EF8">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p>
              </w:tc>
              <w:tc>
                <w:tcPr>
                  <w:tcW w:w="980" w:type="dxa"/>
                  <w:tcBorders>
                    <w:tl2br w:val="nil"/>
                    <w:tr2bl w:val="nil"/>
                  </w:tcBorders>
                  <w:shd w:val="clear" w:color="auto" w:fill="auto"/>
                  <w:noWrap/>
                  <w:vAlign w:val="center"/>
                </w:tcPr>
                <w:p w14:paraId="3FF34664">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岳阳十四中</w:t>
                  </w:r>
                </w:p>
              </w:tc>
              <w:tc>
                <w:tcPr>
                  <w:tcW w:w="1576" w:type="dxa"/>
                  <w:tcBorders>
                    <w:tl2br w:val="nil"/>
                    <w:tr2bl w:val="nil"/>
                  </w:tcBorders>
                  <w:shd w:val="clear" w:color="auto" w:fill="auto"/>
                  <w:noWrap/>
                  <w:vAlign w:val="center"/>
                </w:tcPr>
                <w:p w14:paraId="58317A4F">
                  <w:pPr>
                    <w:keepNext w:val="0"/>
                    <w:keepLines w:val="0"/>
                    <w:widowControl/>
                    <w:suppressLineNumbers w:val="0"/>
                    <w:jc w:val="left"/>
                    <w:textAlignment w:val="center"/>
                    <w:rPr>
                      <w:rFonts w:hint="default"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E113.113394,N29.357904</w:t>
                  </w:r>
                </w:p>
              </w:tc>
              <w:tc>
                <w:tcPr>
                  <w:tcW w:w="1427" w:type="dxa"/>
                  <w:tcBorders>
                    <w:tl2br w:val="nil"/>
                    <w:tr2bl w:val="nil"/>
                  </w:tcBorders>
                  <w:shd w:val="clear" w:color="auto" w:fill="auto"/>
                  <w:noWrap/>
                  <w:vAlign w:val="center"/>
                </w:tcPr>
                <w:p w14:paraId="34EBB37B">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师生约1900人</w:t>
                  </w:r>
                </w:p>
              </w:tc>
              <w:tc>
                <w:tcPr>
                  <w:tcW w:w="1383" w:type="dxa"/>
                  <w:tcBorders>
                    <w:tl2br w:val="nil"/>
                    <w:tr2bl w:val="nil"/>
                  </w:tcBorders>
                  <w:shd w:val="clear" w:color="auto" w:fill="auto"/>
                  <w:noWrap/>
                  <w:vAlign w:val="center"/>
                </w:tcPr>
                <w:p w14:paraId="2F685FEC">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清淤点</w:t>
                  </w:r>
                  <w:r>
                    <w:rPr>
                      <w:rFonts w:hint="eastAsia" w:ascii="宋体" w:hAnsi="宋体" w:eastAsia="宋体" w:cs="宋体"/>
                      <w:i w:val="0"/>
                      <w:iCs w:val="0"/>
                      <w:color w:val="auto"/>
                      <w:sz w:val="22"/>
                      <w:szCs w:val="22"/>
                      <w:u w:val="none"/>
                      <w:lang w:val="en-US" w:eastAsia="zh-CN"/>
                    </w:rPr>
                    <w:t>E</w:t>
                  </w:r>
                  <w:r>
                    <w:rPr>
                      <w:rFonts w:hint="eastAsia" w:ascii="宋体" w:hAnsi="宋体" w:eastAsia="宋体" w:cs="宋体"/>
                      <w:i w:val="0"/>
                      <w:iCs w:val="0"/>
                      <w:color w:val="auto"/>
                      <w:sz w:val="22"/>
                      <w:szCs w:val="22"/>
                      <w:u w:val="none"/>
                      <w:lang w:eastAsia="zh-CN"/>
                    </w:rPr>
                    <w:t>，</w:t>
                  </w:r>
                  <w:r>
                    <w:rPr>
                      <w:rFonts w:hint="eastAsia" w:ascii="宋体" w:hAnsi="宋体" w:eastAsia="宋体" w:cs="宋体"/>
                      <w:i w:val="0"/>
                      <w:iCs w:val="0"/>
                      <w:color w:val="auto"/>
                      <w:kern w:val="0"/>
                      <w:sz w:val="22"/>
                      <w:szCs w:val="22"/>
                      <w:u w:val="none"/>
                      <w:lang w:val="en-US" w:eastAsia="zh-CN" w:bidi="ar"/>
                    </w:rPr>
                    <w:t>450~500m</w:t>
                  </w:r>
                </w:p>
              </w:tc>
              <w:tc>
                <w:tcPr>
                  <w:tcW w:w="1717" w:type="dxa"/>
                  <w:tcBorders>
                    <w:tl2br w:val="nil"/>
                    <w:tr2bl w:val="nil"/>
                  </w:tcBorders>
                  <w:shd w:val="clear" w:color="auto" w:fill="auto"/>
                  <w:noWrap/>
                  <w:vAlign w:val="center"/>
                </w:tcPr>
                <w:p w14:paraId="5E2E6649">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大气环境：（GB3095）二级</w:t>
                  </w:r>
                </w:p>
              </w:tc>
            </w:tr>
            <w:tr w14:paraId="4986655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tcBorders>
                    <w:tl2br w:val="nil"/>
                    <w:tr2bl w:val="nil"/>
                  </w:tcBorders>
                  <w:shd w:val="clear" w:color="auto" w:fill="auto"/>
                  <w:noWrap/>
                  <w:vAlign w:val="center"/>
                </w:tcPr>
                <w:p w14:paraId="1062D9C8">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大气环境</w:t>
                  </w:r>
                  <w:r>
                    <w:rPr>
                      <w:rFonts w:hint="eastAsia" w:ascii="宋体" w:hAnsi="宋体" w:eastAsia="宋体" w:cs="宋体"/>
                      <w:i w:val="0"/>
                      <w:iCs w:val="0"/>
                      <w:color w:val="auto"/>
                      <w:sz w:val="22"/>
                      <w:szCs w:val="22"/>
                      <w:u w:val="none"/>
                      <w:lang w:val="en-US" w:eastAsia="zh-CN"/>
                    </w:rPr>
                    <w:t>+声环境</w:t>
                  </w:r>
                </w:p>
              </w:tc>
              <w:tc>
                <w:tcPr>
                  <w:tcW w:w="980" w:type="dxa"/>
                  <w:tcBorders>
                    <w:tl2br w:val="nil"/>
                    <w:tr2bl w:val="nil"/>
                  </w:tcBorders>
                  <w:shd w:val="clear" w:color="auto" w:fill="auto"/>
                  <w:noWrap/>
                  <w:vAlign w:val="center"/>
                </w:tcPr>
                <w:p w14:paraId="652EC1F1">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和悦小区、金税小区</w:t>
                  </w:r>
                </w:p>
              </w:tc>
              <w:tc>
                <w:tcPr>
                  <w:tcW w:w="1576" w:type="dxa"/>
                  <w:tcBorders>
                    <w:tl2br w:val="nil"/>
                    <w:tr2bl w:val="nil"/>
                  </w:tcBorders>
                  <w:shd w:val="clear" w:color="auto" w:fill="auto"/>
                  <w:noWrap/>
                  <w:vAlign w:val="center"/>
                </w:tcPr>
                <w:p w14:paraId="7878C837">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143199</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375833；</w:t>
                  </w: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141965</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372636；</w:t>
                  </w:r>
                </w:p>
              </w:tc>
              <w:tc>
                <w:tcPr>
                  <w:tcW w:w="1427" w:type="dxa"/>
                  <w:tcBorders>
                    <w:tl2br w:val="nil"/>
                    <w:tr2bl w:val="nil"/>
                  </w:tcBorders>
                  <w:shd w:val="clear" w:color="auto" w:fill="auto"/>
                  <w:noWrap/>
                  <w:vAlign w:val="center"/>
                </w:tcPr>
                <w:p w14:paraId="25EDE708">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约400户/1200人</w:t>
                  </w:r>
                </w:p>
              </w:tc>
              <w:tc>
                <w:tcPr>
                  <w:tcW w:w="1383" w:type="dxa"/>
                  <w:tcBorders>
                    <w:tl2br w:val="nil"/>
                    <w:tr2bl w:val="nil"/>
                  </w:tcBorders>
                  <w:shd w:val="clear" w:color="auto" w:fill="auto"/>
                  <w:noWrap/>
                  <w:vAlign w:val="center"/>
                </w:tcPr>
                <w:p w14:paraId="3D181D66">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cs="宋体"/>
                      <w:i w:val="0"/>
                      <w:iCs w:val="0"/>
                      <w:color w:val="auto"/>
                      <w:sz w:val="22"/>
                      <w:szCs w:val="22"/>
                      <w:u w:val="none"/>
                      <w:lang w:eastAsia="zh-CN"/>
                    </w:rPr>
                    <w:t>管道施工</w:t>
                  </w:r>
                  <w:r>
                    <w:rPr>
                      <w:rFonts w:hint="eastAsia" w:ascii="宋体" w:hAnsi="宋体" w:eastAsia="宋体" w:cs="宋体"/>
                      <w:i w:val="0"/>
                      <w:iCs w:val="0"/>
                      <w:color w:val="auto"/>
                      <w:sz w:val="22"/>
                      <w:szCs w:val="22"/>
                      <w:u w:val="none"/>
                      <w:lang w:val="en-US" w:eastAsia="zh-CN"/>
                    </w:rPr>
                    <w:t>S、N</w:t>
                  </w:r>
                  <w:r>
                    <w:rPr>
                      <w:rFonts w:hint="eastAsia" w:ascii="宋体" w:hAnsi="宋体" w:eastAsia="宋体" w:cs="宋体"/>
                      <w:i w:val="0"/>
                      <w:iCs w:val="0"/>
                      <w:color w:val="auto"/>
                      <w:sz w:val="22"/>
                      <w:szCs w:val="22"/>
                      <w:u w:val="none"/>
                      <w:lang w:eastAsia="zh-CN"/>
                    </w:rPr>
                    <w:t>，</w:t>
                  </w:r>
                  <w:r>
                    <w:rPr>
                      <w:rFonts w:hint="eastAsia" w:ascii="宋体" w:hAnsi="宋体" w:eastAsia="宋体" w:cs="宋体"/>
                      <w:i w:val="0"/>
                      <w:iCs w:val="0"/>
                      <w:color w:val="auto"/>
                      <w:kern w:val="0"/>
                      <w:sz w:val="22"/>
                      <w:szCs w:val="22"/>
                      <w:u w:val="none"/>
                      <w:lang w:val="en-US" w:eastAsia="zh-CN" w:bidi="ar"/>
                    </w:rPr>
                    <w:t>20~500m</w:t>
                  </w:r>
                </w:p>
              </w:tc>
              <w:tc>
                <w:tcPr>
                  <w:tcW w:w="1717" w:type="dxa"/>
                  <w:tcBorders>
                    <w:tl2br w:val="nil"/>
                    <w:tr2bl w:val="nil"/>
                  </w:tcBorders>
                  <w:shd w:val="clear" w:color="auto" w:fill="auto"/>
                  <w:noWrap/>
                  <w:vAlign w:val="center"/>
                </w:tcPr>
                <w:p w14:paraId="4429EF62">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声环境：（GB3096）2类；大气环境：（GB3095）二级</w:t>
                  </w:r>
                </w:p>
              </w:tc>
            </w:tr>
            <w:tr w14:paraId="2374C4F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tcBorders>
                    <w:tl2br w:val="nil"/>
                    <w:tr2bl w:val="nil"/>
                  </w:tcBorders>
                  <w:shd w:val="clear" w:color="auto" w:fill="auto"/>
                  <w:noWrap/>
                  <w:vAlign w:val="center"/>
                </w:tcPr>
                <w:p w14:paraId="563E461F">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大气环境</w:t>
                  </w:r>
                  <w:r>
                    <w:rPr>
                      <w:rFonts w:hint="eastAsia" w:ascii="宋体" w:hAnsi="宋体" w:eastAsia="宋体" w:cs="宋体"/>
                      <w:i w:val="0"/>
                      <w:iCs w:val="0"/>
                      <w:color w:val="auto"/>
                      <w:sz w:val="22"/>
                      <w:szCs w:val="22"/>
                      <w:u w:val="none"/>
                      <w:lang w:val="en-US" w:eastAsia="zh-CN"/>
                    </w:rPr>
                    <w:t>+声环境</w:t>
                  </w:r>
                </w:p>
              </w:tc>
              <w:tc>
                <w:tcPr>
                  <w:tcW w:w="980" w:type="dxa"/>
                  <w:tcBorders>
                    <w:tl2br w:val="nil"/>
                    <w:tr2bl w:val="nil"/>
                  </w:tcBorders>
                  <w:shd w:val="clear" w:color="auto" w:fill="auto"/>
                  <w:noWrap/>
                  <w:vAlign w:val="center"/>
                </w:tcPr>
                <w:p w14:paraId="4A4D5A7F">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恒大华府、山水一城</w:t>
                  </w:r>
                </w:p>
              </w:tc>
              <w:tc>
                <w:tcPr>
                  <w:tcW w:w="1576" w:type="dxa"/>
                  <w:tcBorders>
                    <w:tl2br w:val="nil"/>
                    <w:tr2bl w:val="nil"/>
                  </w:tcBorders>
                  <w:shd w:val="clear" w:color="auto" w:fill="auto"/>
                  <w:noWrap/>
                  <w:vAlign w:val="center"/>
                </w:tcPr>
                <w:p w14:paraId="292B1800">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156513</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390961；</w:t>
                  </w: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160590</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393021；</w:t>
                  </w:r>
                </w:p>
              </w:tc>
              <w:tc>
                <w:tcPr>
                  <w:tcW w:w="1427" w:type="dxa"/>
                  <w:tcBorders>
                    <w:tl2br w:val="nil"/>
                    <w:tr2bl w:val="nil"/>
                  </w:tcBorders>
                  <w:shd w:val="clear" w:color="auto" w:fill="auto"/>
                  <w:noWrap/>
                  <w:vAlign w:val="center"/>
                </w:tcPr>
                <w:p w14:paraId="446612F0">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约3000户/9000人</w:t>
                  </w:r>
                </w:p>
              </w:tc>
              <w:tc>
                <w:tcPr>
                  <w:tcW w:w="1383" w:type="dxa"/>
                  <w:tcBorders>
                    <w:tl2br w:val="nil"/>
                    <w:tr2bl w:val="nil"/>
                  </w:tcBorders>
                  <w:shd w:val="clear" w:color="auto" w:fill="auto"/>
                  <w:noWrap/>
                  <w:vAlign w:val="center"/>
                </w:tcPr>
                <w:p w14:paraId="13B1FA13">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清淤点</w:t>
                  </w:r>
                  <w:r>
                    <w:rPr>
                      <w:rFonts w:hint="eastAsia" w:ascii="宋体" w:hAnsi="宋体" w:eastAsia="宋体" w:cs="宋体"/>
                      <w:i w:val="0"/>
                      <w:iCs w:val="0"/>
                      <w:color w:val="auto"/>
                      <w:sz w:val="22"/>
                      <w:szCs w:val="22"/>
                      <w:u w:val="none"/>
                      <w:lang w:val="en-US" w:eastAsia="zh-CN"/>
                    </w:rPr>
                    <w:t>N</w:t>
                  </w:r>
                  <w:r>
                    <w:rPr>
                      <w:rFonts w:hint="eastAsia" w:ascii="宋体" w:hAnsi="宋体" w:eastAsia="宋体" w:cs="宋体"/>
                      <w:i w:val="0"/>
                      <w:iCs w:val="0"/>
                      <w:color w:val="auto"/>
                      <w:sz w:val="22"/>
                      <w:szCs w:val="22"/>
                      <w:u w:val="none"/>
                      <w:lang w:eastAsia="zh-CN"/>
                    </w:rPr>
                    <w:t>，</w:t>
                  </w:r>
                  <w:r>
                    <w:rPr>
                      <w:rFonts w:hint="eastAsia" w:ascii="宋体" w:hAnsi="宋体" w:eastAsia="宋体" w:cs="宋体"/>
                      <w:i w:val="0"/>
                      <w:iCs w:val="0"/>
                      <w:color w:val="auto"/>
                      <w:kern w:val="0"/>
                      <w:sz w:val="22"/>
                      <w:szCs w:val="22"/>
                      <w:u w:val="none"/>
                      <w:lang w:val="en-US" w:eastAsia="zh-CN" w:bidi="ar"/>
                    </w:rPr>
                    <w:t>100~500m</w:t>
                  </w:r>
                </w:p>
              </w:tc>
              <w:tc>
                <w:tcPr>
                  <w:tcW w:w="1717" w:type="dxa"/>
                  <w:tcBorders>
                    <w:tl2br w:val="nil"/>
                    <w:tr2bl w:val="nil"/>
                  </w:tcBorders>
                  <w:shd w:val="clear" w:color="auto" w:fill="auto"/>
                  <w:noWrap/>
                  <w:vAlign w:val="center"/>
                </w:tcPr>
                <w:p w14:paraId="2A199006">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声环境：（GB3096）2类；大气环境：（GB3095）二级</w:t>
                  </w:r>
                </w:p>
              </w:tc>
            </w:tr>
            <w:tr w14:paraId="03A38DA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tcBorders>
                    <w:tl2br w:val="nil"/>
                    <w:tr2bl w:val="nil"/>
                  </w:tcBorders>
                  <w:shd w:val="clear" w:color="auto" w:fill="auto"/>
                  <w:noWrap/>
                  <w:vAlign w:val="center"/>
                </w:tcPr>
                <w:p w14:paraId="3C690F63">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大气环境</w:t>
                  </w:r>
                  <w:r>
                    <w:rPr>
                      <w:rFonts w:hint="eastAsia" w:ascii="宋体" w:hAnsi="宋体" w:eastAsia="宋体" w:cs="宋体"/>
                      <w:i w:val="0"/>
                      <w:iCs w:val="0"/>
                      <w:color w:val="auto"/>
                      <w:sz w:val="22"/>
                      <w:szCs w:val="22"/>
                      <w:u w:val="none"/>
                      <w:lang w:val="en-US" w:eastAsia="zh-CN"/>
                    </w:rPr>
                    <w:t>+声环境</w:t>
                  </w:r>
                </w:p>
              </w:tc>
              <w:tc>
                <w:tcPr>
                  <w:tcW w:w="980" w:type="dxa"/>
                  <w:tcBorders>
                    <w:tl2br w:val="nil"/>
                    <w:tr2bl w:val="nil"/>
                  </w:tcBorders>
                  <w:shd w:val="clear" w:color="auto" w:fill="auto"/>
                  <w:noWrap/>
                  <w:vAlign w:val="center"/>
                </w:tcPr>
                <w:p w14:paraId="363F7252">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新天地、康岳小学</w:t>
                  </w:r>
                </w:p>
              </w:tc>
              <w:tc>
                <w:tcPr>
                  <w:tcW w:w="1576" w:type="dxa"/>
                  <w:tcBorders>
                    <w:tl2br w:val="nil"/>
                    <w:tr2bl w:val="nil"/>
                  </w:tcBorders>
                  <w:shd w:val="clear" w:color="auto" w:fill="auto"/>
                  <w:noWrap/>
                  <w:vAlign w:val="center"/>
                </w:tcPr>
                <w:p w14:paraId="2EE4C1B1">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143767</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385017；</w:t>
                  </w: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133790</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380581；</w:t>
                  </w:r>
                </w:p>
              </w:tc>
              <w:tc>
                <w:tcPr>
                  <w:tcW w:w="1427" w:type="dxa"/>
                  <w:tcBorders>
                    <w:tl2br w:val="nil"/>
                    <w:tr2bl w:val="nil"/>
                  </w:tcBorders>
                  <w:shd w:val="clear" w:color="auto" w:fill="auto"/>
                  <w:noWrap/>
                  <w:vAlign w:val="center"/>
                </w:tcPr>
                <w:p w14:paraId="3CB6E237">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约1500户/4500人</w:t>
                  </w:r>
                </w:p>
                <w:p w14:paraId="21009986">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师生约900人</w:t>
                  </w:r>
                </w:p>
              </w:tc>
              <w:tc>
                <w:tcPr>
                  <w:tcW w:w="1383" w:type="dxa"/>
                  <w:tcBorders>
                    <w:tl2br w:val="nil"/>
                    <w:tr2bl w:val="nil"/>
                  </w:tcBorders>
                  <w:shd w:val="clear" w:color="auto" w:fill="auto"/>
                  <w:noWrap/>
                  <w:vAlign w:val="center"/>
                </w:tcPr>
                <w:p w14:paraId="5E51B7FE">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清淤点</w:t>
                  </w:r>
                  <w:r>
                    <w:rPr>
                      <w:rFonts w:hint="eastAsia" w:ascii="宋体" w:hAnsi="宋体" w:eastAsia="宋体" w:cs="宋体"/>
                      <w:i w:val="0"/>
                      <w:iCs w:val="0"/>
                      <w:color w:val="auto"/>
                      <w:sz w:val="22"/>
                      <w:szCs w:val="22"/>
                      <w:u w:val="none"/>
                      <w:lang w:val="en-US" w:eastAsia="zh-CN"/>
                    </w:rPr>
                    <w:t>E</w:t>
                  </w:r>
                  <w:r>
                    <w:rPr>
                      <w:rFonts w:hint="eastAsia" w:ascii="宋体" w:hAnsi="宋体" w:eastAsia="宋体" w:cs="宋体"/>
                      <w:i w:val="0"/>
                      <w:iCs w:val="0"/>
                      <w:color w:val="auto"/>
                      <w:sz w:val="22"/>
                      <w:szCs w:val="22"/>
                      <w:u w:val="none"/>
                      <w:lang w:eastAsia="zh-CN"/>
                    </w:rPr>
                    <w:t>，</w:t>
                  </w:r>
                  <w:r>
                    <w:rPr>
                      <w:rFonts w:hint="eastAsia" w:ascii="宋体" w:hAnsi="宋体" w:eastAsia="宋体" w:cs="宋体"/>
                      <w:i w:val="0"/>
                      <w:iCs w:val="0"/>
                      <w:color w:val="auto"/>
                      <w:kern w:val="0"/>
                      <w:sz w:val="22"/>
                      <w:szCs w:val="22"/>
                      <w:u w:val="none"/>
                      <w:lang w:val="en-US" w:eastAsia="zh-CN" w:bidi="ar"/>
                    </w:rPr>
                    <w:t>40~500m</w:t>
                  </w:r>
                </w:p>
              </w:tc>
              <w:tc>
                <w:tcPr>
                  <w:tcW w:w="1717" w:type="dxa"/>
                  <w:tcBorders>
                    <w:tl2br w:val="nil"/>
                    <w:tr2bl w:val="nil"/>
                  </w:tcBorders>
                  <w:shd w:val="clear" w:color="auto" w:fill="auto"/>
                  <w:noWrap/>
                  <w:vAlign w:val="center"/>
                </w:tcPr>
                <w:p w14:paraId="5AF85508">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声环境：（GB3096）2类；大气环境：（GB3095）二级</w:t>
                  </w:r>
                </w:p>
              </w:tc>
            </w:tr>
            <w:tr w14:paraId="2CDC452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tcBorders>
                    <w:tl2br w:val="nil"/>
                    <w:tr2bl w:val="nil"/>
                  </w:tcBorders>
                  <w:shd w:val="clear" w:color="auto" w:fill="auto"/>
                  <w:noWrap/>
                  <w:vAlign w:val="center"/>
                </w:tcPr>
                <w:p w14:paraId="1514B666">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大气环境</w:t>
                  </w:r>
                  <w:r>
                    <w:rPr>
                      <w:rFonts w:hint="eastAsia" w:ascii="宋体" w:hAnsi="宋体" w:eastAsia="宋体" w:cs="宋体"/>
                      <w:i w:val="0"/>
                      <w:iCs w:val="0"/>
                      <w:color w:val="auto"/>
                      <w:sz w:val="22"/>
                      <w:szCs w:val="22"/>
                      <w:u w:val="none"/>
                      <w:lang w:val="en-US" w:eastAsia="zh-CN"/>
                    </w:rPr>
                    <w:t>+声环境</w:t>
                  </w:r>
                </w:p>
              </w:tc>
              <w:tc>
                <w:tcPr>
                  <w:tcW w:w="980" w:type="dxa"/>
                  <w:tcBorders>
                    <w:tl2br w:val="nil"/>
                    <w:tr2bl w:val="nil"/>
                  </w:tcBorders>
                  <w:shd w:val="clear" w:color="auto" w:fill="auto"/>
                  <w:noWrap/>
                  <w:vAlign w:val="center"/>
                </w:tcPr>
                <w:p w14:paraId="4202287A">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新宇小区、康复医院</w:t>
                  </w:r>
                </w:p>
              </w:tc>
              <w:tc>
                <w:tcPr>
                  <w:tcW w:w="1576" w:type="dxa"/>
                  <w:tcBorders>
                    <w:tl2br w:val="nil"/>
                    <w:tr2bl w:val="nil"/>
                  </w:tcBorders>
                  <w:shd w:val="clear" w:color="auto" w:fill="auto"/>
                  <w:noWrap/>
                  <w:vAlign w:val="center"/>
                </w:tcPr>
                <w:p w14:paraId="58A57676">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134401</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385280；</w:t>
                  </w: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133500</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382319；</w:t>
                  </w:r>
                </w:p>
              </w:tc>
              <w:tc>
                <w:tcPr>
                  <w:tcW w:w="1427" w:type="dxa"/>
                  <w:tcBorders>
                    <w:tl2br w:val="nil"/>
                    <w:tr2bl w:val="nil"/>
                  </w:tcBorders>
                  <w:shd w:val="clear" w:color="auto" w:fill="auto"/>
                  <w:noWrap/>
                  <w:vAlign w:val="center"/>
                </w:tcPr>
                <w:p w14:paraId="3AE94914">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约300户/900人</w:t>
                  </w:r>
                </w:p>
                <w:p w14:paraId="613FA03C">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共约500人</w:t>
                  </w:r>
                </w:p>
              </w:tc>
              <w:tc>
                <w:tcPr>
                  <w:tcW w:w="1383" w:type="dxa"/>
                  <w:tcBorders>
                    <w:tl2br w:val="nil"/>
                    <w:tr2bl w:val="nil"/>
                  </w:tcBorders>
                  <w:shd w:val="clear" w:color="auto" w:fill="auto"/>
                  <w:noWrap/>
                  <w:vAlign w:val="center"/>
                </w:tcPr>
                <w:p w14:paraId="719D8BB8">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清淤点</w:t>
                  </w:r>
                  <w:r>
                    <w:rPr>
                      <w:rFonts w:hint="eastAsia" w:ascii="宋体" w:hAnsi="宋体" w:eastAsia="宋体" w:cs="宋体"/>
                      <w:i w:val="0"/>
                      <w:iCs w:val="0"/>
                      <w:color w:val="auto"/>
                      <w:sz w:val="22"/>
                      <w:szCs w:val="22"/>
                      <w:u w:val="none"/>
                      <w:lang w:val="en-US" w:eastAsia="zh-CN"/>
                    </w:rPr>
                    <w:t>四周</w:t>
                  </w:r>
                  <w:r>
                    <w:rPr>
                      <w:rFonts w:hint="eastAsia" w:ascii="宋体" w:hAnsi="宋体" w:eastAsia="宋体" w:cs="宋体"/>
                      <w:i w:val="0"/>
                      <w:iCs w:val="0"/>
                      <w:color w:val="auto"/>
                      <w:sz w:val="22"/>
                      <w:szCs w:val="22"/>
                      <w:u w:val="none"/>
                      <w:lang w:eastAsia="zh-CN"/>
                    </w:rPr>
                    <w:t>，</w:t>
                  </w:r>
                  <w:r>
                    <w:rPr>
                      <w:rFonts w:hint="eastAsia" w:ascii="宋体" w:hAnsi="宋体" w:eastAsia="宋体" w:cs="宋体"/>
                      <w:i w:val="0"/>
                      <w:iCs w:val="0"/>
                      <w:color w:val="auto"/>
                      <w:kern w:val="0"/>
                      <w:sz w:val="22"/>
                      <w:szCs w:val="22"/>
                      <w:u w:val="none"/>
                      <w:lang w:val="en-US" w:eastAsia="zh-CN" w:bidi="ar"/>
                    </w:rPr>
                    <w:t>40~500m</w:t>
                  </w:r>
                </w:p>
              </w:tc>
              <w:tc>
                <w:tcPr>
                  <w:tcW w:w="1717" w:type="dxa"/>
                  <w:tcBorders>
                    <w:tl2br w:val="nil"/>
                    <w:tr2bl w:val="nil"/>
                  </w:tcBorders>
                  <w:shd w:val="clear" w:color="auto" w:fill="auto"/>
                  <w:noWrap/>
                  <w:vAlign w:val="center"/>
                </w:tcPr>
                <w:p w14:paraId="4EC50AD1">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声环境：（GB3096）2类；大气环境：（GB3095）二级</w:t>
                  </w:r>
                </w:p>
              </w:tc>
            </w:tr>
            <w:tr w14:paraId="0F071B1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tcBorders>
                    <w:tl2br w:val="nil"/>
                    <w:tr2bl w:val="nil"/>
                  </w:tcBorders>
                  <w:shd w:val="clear" w:color="auto" w:fill="auto"/>
                  <w:noWrap/>
                  <w:vAlign w:val="center"/>
                </w:tcPr>
                <w:p w14:paraId="005B017D">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大气环境</w:t>
                  </w:r>
                  <w:r>
                    <w:rPr>
                      <w:rFonts w:hint="eastAsia" w:ascii="宋体" w:hAnsi="宋体" w:eastAsia="宋体" w:cs="宋体"/>
                      <w:i w:val="0"/>
                      <w:iCs w:val="0"/>
                      <w:color w:val="auto"/>
                      <w:sz w:val="22"/>
                      <w:szCs w:val="22"/>
                      <w:u w:val="none"/>
                      <w:lang w:val="en-US" w:eastAsia="zh-CN"/>
                    </w:rPr>
                    <w:t>+声环境</w:t>
                  </w:r>
                </w:p>
              </w:tc>
              <w:tc>
                <w:tcPr>
                  <w:tcW w:w="980" w:type="dxa"/>
                  <w:tcBorders>
                    <w:tl2br w:val="nil"/>
                    <w:tr2bl w:val="nil"/>
                  </w:tcBorders>
                  <w:shd w:val="clear" w:color="auto" w:fill="auto"/>
                  <w:noWrap/>
                  <w:vAlign w:val="center"/>
                </w:tcPr>
                <w:p w14:paraId="2053E000">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枫树岭、万象城、北港中学</w:t>
                  </w:r>
                </w:p>
              </w:tc>
              <w:tc>
                <w:tcPr>
                  <w:tcW w:w="1576" w:type="dxa"/>
                  <w:tcBorders>
                    <w:tl2br w:val="nil"/>
                    <w:tr2bl w:val="nil"/>
                  </w:tcBorders>
                  <w:shd w:val="clear" w:color="auto" w:fill="auto"/>
                  <w:noWrap/>
                  <w:vAlign w:val="center"/>
                </w:tcPr>
                <w:p w14:paraId="2B463F57">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134819</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358528；</w:t>
                  </w: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141825</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358646；</w:t>
                  </w: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135592</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362336；</w:t>
                  </w:r>
                </w:p>
              </w:tc>
              <w:tc>
                <w:tcPr>
                  <w:tcW w:w="1427" w:type="dxa"/>
                  <w:tcBorders>
                    <w:tl2br w:val="nil"/>
                    <w:tr2bl w:val="nil"/>
                  </w:tcBorders>
                  <w:shd w:val="clear" w:color="auto" w:fill="auto"/>
                  <w:noWrap/>
                  <w:vAlign w:val="center"/>
                </w:tcPr>
                <w:p w14:paraId="28532FFD">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约1400户/5200人</w:t>
                  </w:r>
                </w:p>
                <w:p w14:paraId="5A72B5B6">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师生约600人</w:t>
                  </w:r>
                </w:p>
              </w:tc>
              <w:tc>
                <w:tcPr>
                  <w:tcW w:w="1383" w:type="dxa"/>
                  <w:tcBorders>
                    <w:tl2br w:val="nil"/>
                    <w:tr2bl w:val="nil"/>
                  </w:tcBorders>
                  <w:shd w:val="clear" w:color="auto" w:fill="auto"/>
                  <w:noWrap/>
                  <w:vAlign w:val="center"/>
                </w:tcPr>
                <w:p w14:paraId="1599F2DB">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清淤点</w:t>
                  </w:r>
                  <w:r>
                    <w:rPr>
                      <w:rFonts w:hint="eastAsia" w:ascii="宋体" w:hAnsi="宋体" w:eastAsia="宋体" w:cs="宋体"/>
                      <w:i w:val="0"/>
                      <w:iCs w:val="0"/>
                      <w:color w:val="auto"/>
                      <w:sz w:val="22"/>
                      <w:szCs w:val="22"/>
                      <w:u w:val="none"/>
                      <w:lang w:val="en-US" w:eastAsia="zh-CN"/>
                    </w:rPr>
                    <w:t>四周</w:t>
                  </w:r>
                  <w:r>
                    <w:rPr>
                      <w:rFonts w:hint="eastAsia" w:ascii="宋体" w:hAnsi="宋体" w:eastAsia="宋体" w:cs="宋体"/>
                      <w:i w:val="0"/>
                      <w:iCs w:val="0"/>
                      <w:color w:val="auto"/>
                      <w:sz w:val="22"/>
                      <w:szCs w:val="22"/>
                      <w:u w:val="none"/>
                      <w:lang w:eastAsia="zh-CN"/>
                    </w:rPr>
                    <w:t>，</w:t>
                  </w:r>
                  <w:r>
                    <w:rPr>
                      <w:rFonts w:hint="eastAsia" w:ascii="宋体" w:hAnsi="宋体" w:eastAsia="宋体" w:cs="宋体"/>
                      <w:i w:val="0"/>
                      <w:iCs w:val="0"/>
                      <w:color w:val="auto"/>
                      <w:kern w:val="0"/>
                      <w:sz w:val="22"/>
                      <w:szCs w:val="22"/>
                      <w:u w:val="none"/>
                      <w:lang w:val="en-US" w:eastAsia="zh-CN" w:bidi="ar"/>
                    </w:rPr>
                    <w:t>20~500m</w:t>
                  </w:r>
                </w:p>
              </w:tc>
              <w:tc>
                <w:tcPr>
                  <w:tcW w:w="1717" w:type="dxa"/>
                  <w:tcBorders>
                    <w:tl2br w:val="nil"/>
                    <w:tr2bl w:val="nil"/>
                  </w:tcBorders>
                  <w:shd w:val="clear" w:color="auto" w:fill="auto"/>
                  <w:noWrap/>
                  <w:vAlign w:val="center"/>
                </w:tcPr>
                <w:p w14:paraId="330A505C">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声环境：（GB3096）2类；大气环境：（GB3095）二级</w:t>
                  </w:r>
                </w:p>
              </w:tc>
            </w:tr>
            <w:tr w14:paraId="7D3571E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tcBorders>
                    <w:tl2br w:val="nil"/>
                    <w:tr2bl w:val="nil"/>
                  </w:tcBorders>
                  <w:shd w:val="clear" w:color="auto" w:fill="auto"/>
                  <w:noWrap/>
                  <w:vAlign w:val="center"/>
                </w:tcPr>
                <w:p w14:paraId="159B3E79">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大气环境</w:t>
                  </w:r>
                  <w:r>
                    <w:rPr>
                      <w:rFonts w:hint="eastAsia" w:ascii="宋体" w:hAnsi="宋体" w:eastAsia="宋体" w:cs="宋体"/>
                      <w:i w:val="0"/>
                      <w:iCs w:val="0"/>
                      <w:color w:val="auto"/>
                      <w:sz w:val="22"/>
                      <w:szCs w:val="22"/>
                      <w:u w:val="none"/>
                      <w:lang w:val="en-US" w:eastAsia="zh-CN"/>
                    </w:rPr>
                    <w:t>+声环境</w:t>
                  </w:r>
                </w:p>
              </w:tc>
              <w:tc>
                <w:tcPr>
                  <w:tcW w:w="980" w:type="dxa"/>
                  <w:tcBorders>
                    <w:tl2br w:val="nil"/>
                    <w:tr2bl w:val="nil"/>
                  </w:tcBorders>
                  <w:shd w:val="clear" w:color="auto" w:fill="auto"/>
                  <w:noWrap/>
                  <w:vAlign w:val="center"/>
                </w:tcPr>
                <w:p w14:paraId="403D2345">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珍珠山小区、新辉华府</w:t>
                  </w:r>
                </w:p>
              </w:tc>
              <w:tc>
                <w:tcPr>
                  <w:tcW w:w="1576" w:type="dxa"/>
                  <w:tcBorders>
                    <w:tl2br w:val="nil"/>
                    <w:tr2bl w:val="nil"/>
                  </w:tcBorders>
                  <w:shd w:val="clear" w:color="auto" w:fill="auto"/>
                  <w:noWrap/>
                  <w:vAlign w:val="center"/>
                </w:tcPr>
                <w:p w14:paraId="38AF8F9D">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157039</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362444；</w:t>
                  </w: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168540</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354848；</w:t>
                  </w:r>
                </w:p>
              </w:tc>
              <w:tc>
                <w:tcPr>
                  <w:tcW w:w="1427" w:type="dxa"/>
                  <w:tcBorders>
                    <w:tl2br w:val="nil"/>
                    <w:tr2bl w:val="nil"/>
                  </w:tcBorders>
                  <w:shd w:val="clear" w:color="auto" w:fill="auto"/>
                  <w:noWrap/>
                  <w:vAlign w:val="center"/>
                </w:tcPr>
                <w:p w14:paraId="5A49F02B">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约1500户/4500人</w:t>
                  </w:r>
                </w:p>
              </w:tc>
              <w:tc>
                <w:tcPr>
                  <w:tcW w:w="1383" w:type="dxa"/>
                  <w:tcBorders>
                    <w:tl2br w:val="nil"/>
                    <w:tr2bl w:val="nil"/>
                  </w:tcBorders>
                  <w:shd w:val="clear" w:color="auto" w:fill="auto"/>
                  <w:noWrap/>
                  <w:vAlign w:val="center"/>
                </w:tcPr>
                <w:p w14:paraId="47E4BE4C">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cs="宋体"/>
                      <w:i w:val="0"/>
                      <w:iCs w:val="0"/>
                      <w:color w:val="auto"/>
                      <w:sz w:val="22"/>
                      <w:szCs w:val="22"/>
                      <w:u w:val="none"/>
                      <w:lang w:eastAsia="zh-CN"/>
                    </w:rPr>
                    <w:t>管道施工</w:t>
                  </w:r>
                  <w:r>
                    <w:rPr>
                      <w:rFonts w:hint="eastAsia" w:ascii="宋体" w:hAnsi="宋体" w:eastAsia="宋体" w:cs="宋体"/>
                      <w:i w:val="0"/>
                      <w:iCs w:val="0"/>
                      <w:color w:val="auto"/>
                      <w:sz w:val="22"/>
                      <w:szCs w:val="22"/>
                      <w:u w:val="none"/>
                      <w:lang w:val="en-US" w:eastAsia="zh-CN"/>
                    </w:rPr>
                    <w:t>四周</w:t>
                  </w:r>
                  <w:r>
                    <w:rPr>
                      <w:rFonts w:hint="eastAsia" w:ascii="宋体" w:hAnsi="宋体" w:eastAsia="宋体" w:cs="宋体"/>
                      <w:i w:val="0"/>
                      <w:iCs w:val="0"/>
                      <w:color w:val="auto"/>
                      <w:sz w:val="22"/>
                      <w:szCs w:val="22"/>
                      <w:u w:val="none"/>
                      <w:lang w:eastAsia="zh-CN"/>
                    </w:rPr>
                    <w:t>，</w:t>
                  </w:r>
                  <w:r>
                    <w:rPr>
                      <w:rFonts w:hint="eastAsia" w:ascii="宋体" w:hAnsi="宋体" w:eastAsia="宋体" w:cs="宋体"/>
                      <w:i w:val="0"/>
                      <w:iCs w:val="0"/>
                      <w:color w:val="auto"/>
                      <w:kern w:val="0"/>
                      <w:sz w:val="22"/>
                      <w:szCs w:val="22"/>
                      <w:u w:val="none"/>
                      <w:lang w:val="en-US" w:eastAsia="zh-CN" w:bidi="ar"/>
                    </w:rPr>
                    <w:t>20~500m</w:t>
                  </w:r>
                </w:p>
              </w:tc>
              <w:tc>
                <w:tcPr>
                  <w:tcW w:w="1717" w:type="dxa"/>
                  <w:tcBorders>
                    <w:tl2br w:val="nil"/>
                    <w:tr2bl w:val="nil"/>
                  </w:tcBorders>
                  <w:shd w:val="clear" w:color="auto" w:fill="auto"/>
                  <w:noWrap/>
                  <w:vAlign w:val="center"/>
                </w:tcPr>
                <w:p w14:paraId="6EE312FF">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声环境：（GB3096）2类；大气环境：（GB3095）二级</w:t>
                  </w:r>
                </w:p>
              </w:tc>
            </w:tr>
            <w:tr w14:paraId="1EA3929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8220" w:type="dxa"/>
                  <w:gridSpan w:val="6"/>
                  <w:tcBorders>
                    <w:tl2br w:val="nil"/>
                    <w:tr2bl w:val="nil"/>
                  </w:tcBorders>
                  <w:shd w:val="clear" w:color="auto" w:fill="auto"/>
                  <w:noWrap/>
                  <w:vAlign w:val="center"/>
                </w:tcPr>
                <w:p w14:paraId="3FEC2C2B">
                  <w:pP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二、给水工程</w:t>
                  </w:r>
                </w:p>
              </w:tc>
            </w:tr>
            <w:tr w14:paraId="5273695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tcBorders>
                    <w:tl2br w:val="nil"/>
                    <w:tr2bl w:val="nil"/>
                  </w:tcBorders>
                  <w:shd w:val="clear" w:color="auto" w:fill="auto"/>
                  <w:noWrap/>
                  <w:vAlign w:val="center"/>
                </w:tcPr>
                <w:p w14:paraId="366FBEE6">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sz w:val="22"/>
                      <w:szCs w:val="22"/>
                      <w:u w:val="none"/>
                      <w:lang w:eastAsia="zh-CN"/>
                    </w:rPr>
                    <w:t>大气环境</w:t>
                  </w:r>
                  <w:r>
                    <w:rPr>
                      <w:rFonts w:hint="eastAsia" w:ascii="宋体" w:hAnsi="宋体" w:eastAsia="宋体" w:cs="宋体"/>
                      <w:i w:val="0"/>
                      <w:iCs w:val="0"/>
                      <w:color w:val="auto"/>
                      <w:sz w:val="22"/>
                      <w:szCs w:val="22"/>
                      <w:u w:val="none"/>
                      <w:lang w:val="en-US" w:eastAsia="zh-CN"/>
                    </w:rPr>
                    <w:t>+声环境</w:t>
                  </w:r>
                </w:p>
              </w:tc>
              <w:tc>
                <w:tcPr>
                  <w:tcW w:w="980" w:type="dxa"/>
                  <w:tcBorders>
                    <w:tl2br w:val="nil"/>
                    <w:tr2bl w:val="nil"/>
                  </w:tcBorders>
                  <w:shd w:val="clear" w:color="auto" w:fill="auto"/>
                  <w:noWrap/>
                  <w:vAlign w:val="center"/>
                </w:tcPr>
                <w:p w14:paraId="011E58EC">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罗家坡、王</w:t>
                  </w:r>
                  <w:r>
                    <w:rPr>
                      <w:rFonts w:hint="eastAsia" w:ascii="宋体" w:hAnsi="宋体" w:cs="宋体"/>
                      <w:i w:val="0"/>
                      <w:iCs w:val="0"/>
                      <w:color w:val="auto"/>
                      <w:sz w:val="22"/>
                      <w:szCs w:val="22"/>
                      <w:u w:val="none"/>
                      <w:lang w:eastAsia="zh-CN"/>
                    </w:rPr>
                    <w:t>家</w:t>
                  </w:r>
                  <w:r>
                    <w:rPr>
                      <w:rFonts w:hint="eastAsia" w:ascii="宋体" w:hAnsi="宋体" w:eastAsia="宋体" w:cs="宋体"/>
                      <w:i w:val="0"/>
                      <w:iCs w:val="0"/>
                      <w:color w:val="auto"/>
                      <w:sz w:val="22"/>
                      <w:szCs w:val="22"/>
                      <w:u w:val="none"/>
                      <w:lang w:eastAsia="zh-CN"/>
                    </w:rPr>
                    <w:t>新屋、枣树村、徐家冲、磨刀村、麻布村、古木冲</w:t>
                  </w:r>
                </w:p>
              </w:tc>
              <w:tc>
                <w:tcPr>
                  <w:tcW w:w="1576" w:type="dxa"/>
                  <w:tcBorders>
                    <w:tl2br w:val="nil"/>
                    <w:tr2bl w:val="nil"/>
                  </w:tcBorders>
                  <w:shd w:val="clear" w:color="auto" w:fill="auto"/>
                  <w:noWrap/>
                  <w:vAlign w:val="center"/>
                </w:tcPr>
                <w:p w14:paraId="7992A453">
                  <w:pPr>
                    <w:keepNext w:val="0"/>
                    <w:keepLines w:val="0"/>
                    <w:widowControl/>
                    <w:suppressLineNumbers w:val="0"/>
                    <w:jc w:val="left"/>
                    <w:textAlignment w:val="center"/>
                    <w:rPr>
                      <w:rFonts w:hint="eastAsia" w:ascii="宋体" w:hAnsi="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152683</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327253；</w:t>
                  </w: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154915</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307641；</w:t>
                  </w: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141611</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286956；</w:t>
                  </w:r>
                </w:p>
                <w:p w14:paraId="11A8D8A3">
                  <w:pPr>
                    <w:keepNext w:val="0"/>
                    <w:keepLines w:val="0"/>
                    <w:widowControl/>
                    <w:suppressLineNumbers w:val="0"/>
                    <w:jc w:val="left"/>
                    <w:textAlignment w:val="center"/>
                    <w:rPr>
                      <w:rFonts w:hint="eastAsia" w:ascii="宋体" w:hAnsi="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112257</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280776；</w:t>
                  </w: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130667</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271764；</w:t>
                  </w: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129852</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257387；</w:t>
                  </w:r>
                </w:p>
                <w:p w14:paraId="15F71035">
                  <w:pPr>
                    <w:keepNext w:val="0"/>
                    <w:keepLines w:val="0"/>
                    <w:widowControl/>
                    <w:suppressLineNumbers w:val="0"/>
                    <w:jc w:val="left"/>
                    <w:textAlignment w:val="center"/>
                    <w:rPr>
                      <w:rFonts w:hint="eastAsia" w:ascii="宋体" w:hAnsi="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143413</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255928；</w:t>
                  </w:r>
                </w:p>
              </w:tc>
              <w:tc>
                <w:tcPr>
                  <w:tcW w:w="1427" w:type="dxa"/>
                  <w:tcBorders>
                    <w:tl2br w:val="nil"/>
                    <w:tr2bl w:val="nil"/>
                  </w:tcBorders>
                  <w:shd w:val="clear" w:color="auto" w:fill="auto"/>
                  <w:noWrap/>
                  <w:vAlign w:val="center"/>
                </w:tcPr>
                <w:p w14:paraId="2AFEC87E">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约300户/900人</w:t>
                  </w:r>
                </w:p>
              </w:tc>
              <w:tc>
                <w:tcPr>
                  <w:tcW w:w="1383" w:type="dxa"/>
                  <w:tcBorders>
                    <w:tl2br w:val="nil"/>
                    <w:tr2bl w:val="nil"/>
                  </w:tcBorders>
                  <w:shd w:val="clear" w:color="auto" w:fill="auto"/>
                  <w:noWrap/>
                  <w:vAlign w:val="center"/>
                </w:tcPr>
                <w:p w14:paraId="0752AE37">
                  <w:pPr>
                    <w:keepNext w:val="0"/>
                    <w:keepLines w:val="0"/>
                    <w:widowControl/>
                    <w:suppressLineNumbers w:val="0"/>
                    <w:jc w:val="left"/>
                    <w:textAlignment w:val="center"/>
                    <w:rPr>
                      <w:rFonts w:hint="eastAsia" w:ascii="宋体" w:hAnsi="宋体" w:eastAsia="宋体" w:cs="宋体"/>
                      <w:i w:val="0"/>
                      <w:iCs w:val="0"/>
                      <w:color w:val="auto"/>
                      <w:sz w:val="22"/>
                      <w:szCs w:val="22"/>
                      <w:u w:val="none"/>
                      <w:lang w:eastAsia="zh-CN"/>
                    </w:rPr>
                  </w:pPr>
                  <w:r>
                    <w:rPr>
                      <w:rFonts w:hint="eastAsia" w:ascii="宋体" w:hAnsi="宋体" w:eastAsia="宋体" w:cs="宋体"/>
                      <w:i w:val="0"/>
                      <w:iCs w:val="0"/>
                      <w:color w:val="auto"/>
                      <w:sz w:val="22"/>
                      <w:szCs w:val="22"/>
                      <w:u w:val="none"/>
                      <w:lang w:eastAsia="zh-CN"/>
                    </w:rPr>
                    <w:t>施工点四周，</w:t>
                  </w:r>
                  <w:r>
                    <w:rPr>
                      <w:rFonts w:hint="eastAsia" w:ascii="宋体" w:hAnsi="宋体" w:eastAsia="宋体" w:cs="宋体"/>
                      <w:i w:val="0"/>
                      <w:iCs w:val="0"/>
                      <w:color w:val="auto"/>
                      <w:kern w:val="0"/>
                      <w:sz w:val="22"/>
                      <w:szCs w:val="22"/>
                      <w:u w:val="none"/>
                      <w:lang w:val="en-US" w:eastAsia="zh-CN" w:bidi="ar"/>
                    </w:rPr>
                    <w:t>10~500m</w:t>
                  </w:r>
                </w:p>
              </w:tc>
              <w:tc>
                <w:tcPr>
                  <w:tcW w:w="1717" w:type="dxa"/>
                  <w:tcBorders>
                    <w:tl2br w:val="nil"/>
                    <w:tr2bl w:val="nil"/>
                  </w:tcBorders>
                  <w:shd w:val="clear" w:color="auto" w:fill="auto"/>
                  <w:noWrap/>
                  <w:vAlign w:val="center"/>
                </w:tcPr>
                <w:p w14:paraId="07E5F459">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声环境：（GB3096）2类；大气环境：（GB3095）二级</w:t>
                  </w:r>
                </w:p>
              </w:tc>
            </w:tr>
            <w:tr w14:paraId="7FC2FBA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tcBorders>
                    <w:tl2br w:val="nil"/>
                    <w:tr2bl w:val="nil"/>
                  </w:tcBorders>
                  <w:shd w:val="clear" w:color="auto" w:fill="auto"/>
                  <w:noWrap/>
                  <w:vAlign w:val="center"/>
                </w:tcPr>
                <w:p w14:paraId="618726AA">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sz w:val="22"/>
                      <w:szCs w:val="22"/>
                      <w:u w:val="none"/>
                      <w:lang w:eastAsia="zh-CN"/>
                    </w:rPr>
                    <w:t>大气环境</w:t>
                  </w:r>
                  <w:r>
                    <w:rPr>
                      <w:rFonts w:hint="eastAsia" w:ascii="宋体" w:hAnsi="宋体" w:eastAsia="宋体" w:cs="宋体"/>
                      <w:i w:val="0"/>
                      <w:iCs w:val="0"/>
                      <w:color w:val="auto"/>
                      <w:sz w:val="22"/>
                      <w:szCs w:val="22"/>
                      <w:u w:val="none"/>
                      <w:lang w:val="en-US" w:eastAsia="zh-CN"/>
                    </w:rPr>
                    <w:t>+声环境</w:t>
                  </w:r>
                </w:p>
              </w:tc>
              <w:tc>
                <w:tcPr>
                  <w:tcW w:w="980" w:type="dxa"/>
                  <w:tcBorders>
                    <w:tl2br w:val="nil"/>
                    <w:tr2bl w:val="nil"/>
                  </w:tcBorders>
                  <w:shd w:val="clear" w:color="auto" w:fill="auto"/>
                  <w:noWrap/>
                  <w:vAlign w:val="center"/>
                </w:tcPr>
                <w:p w14:paraId="2922960D">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cs="宋体"/>
                      <w:i w:val="0"/>
                      <w:iCs w:val="0"/>
                      <w:color w:val="auto"/>
                      <w:kern w:val="0"/>
                      <w:sz w:val="22"/>
                      <w:szCs w:val="22"/>
                      <w:u w:val="none"/>
                      <w:lang w:val="en-US" w:eastAsia="zh-CN" w:bidi="ar"/>
                    </w:rPr>
                    <w:t>乌江村</w:t>
                  </w:r>
                  <w:r>
                    <w:rPr>
                      <w:rFonts w:hint="eastAsia" w:ascii="宋体" w:hAnsi="宋体" w:eastAsia="宋体" w:cs="宋体"/>
                      <w:i w:val="0"/>
                      <w:iCs w:val="0"/>
                      <w:color w:val="auto"/>
                      <w:kern w:val="0"/>
                      <w:sz w:val="22"/>
                      <w:szCs w:val="22"/>
                      <w:u w:val="none"/>
                      <w:lang w:val="en-US" w:eastAsia="zh-CN" w:bidi="ar"/>
                    </w:rPr>
                    <w:t>、</w:t>
                  </w:r>
                  <w:r>
                    <w:rPr>
                      <w:rFonts w:hint="eastAsia" w:ascii="宋体" w:hAnsi="宋体" w:cs="宋体"/>
                      <w:i w:val="0"/>
                      <w:iCs w:val="0"/>
                      <w:color w:val="auto"/>
                      <w:kern w:val="0"/>
                      <w:sz w:val="22"/>
                      <w:szCs w:val="22"/>
                      <w:u w:val="none"/>
                      <w:lang w:val="en-US" w:eastAsia="zh-CN" w:bidi="ar"/>
                    </w:rPr>
                    <w:t>杨埠村</w:t>
                  </w:r>
                </w:p>
              </w:tc>
              <w:tc>
                <w:tcPr>
                  <w:tcW w:w="1576" w:type="dxa"/>
                  <w:tcBorders>
                    <w:tl2br w:val="nil"/>
                    <w:tr2bl w:val="nil"/>
                  </w:tcBorders>
                  <w:shd w:val="clear" w:color="auto" w:fill="auto"/>
                  <w:noWrap/>
                  <w:vAlign w:val="center"/>
                </w:tcPr>
                <w:p w14:paraId="4A0913B5">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292330</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262472；</w:t>
                  </w: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295591</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251057；</w:t>
                  </w:r>
                </w:p>
              </w:tc>
              <w:tc>
                <w:tcPr>
                  <w:tcW w:w="1427" w:type="dxa"/>
                  <w:tcBorders>
                    <w:tl2br w:val="nil"/>
                    <w:tr2bl w:val="nil"/>
                  </w:tcBorders>
                  <w:shd w:val="clear" w:color="auto" w:fill="auto"/>
                  <w:noWrap/>
                  <w:vAlign w:val="center"/>
                </w:tcPr>
                <w:p w14:paraId="00E3072A">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约90户/270人</w:t>
                  </w:r>
                </w:p>
              </w:tc>
              <w:tc>
                <w:tcPr>
                  <w:tcW w:w="1383" w:type="dxa"/>
                  <w:tcBorders>
                    <w:tl2br w:val="nil"/>
                    <w:tr2bl w:val="nil"/>
                  </w:tcBorders>
                  <w:shd w:val="clear" w:color="auto" w:fill="auto"/>
                  <w:noWrap/>
                  <w:vAlign w:val="center"/>
                </w:tcPr>
                <w:p w14:paraId="1BF9F437">
                  <w:pPr>
                    <w:keepNext w:val="0"/>
                    <w:keepLines w:val="0"/>
                    <w:widowControl/>
                    <w:suppressLineNumbers w:val="0"/>
                    <w:jc w:val="left"/>
                    <w:textAlignment w:val="center"/>
                    <w:rPr>
                      <w:rFonts w:hint="eastAsia" w:ascii="宋体" w:hAnsi="宋体" w:eastAsia="宋体" w:cs="宋体"/>
                      <w:i w:val="0"/>
                      <w:iCs w:val="0"/>
                      <w:color w:val="auto"/>
                      <w:kern w:val="2"/>
                      <w:sz w:val="22"/>
                      <w:szCs w:val="22"/>
                      <w:u w:val="none"/>
                      <w:lang w:val="en-US" w:eastAsia="zh-CN" w:bidi="ar-SA"/>
                    </w:rPr>
                  </w:pPr>
                  <w:r>
                    <w:rPr>
                      <w:rFonts w:hint="eastAsia" w:ascii="宋体" w:hAnsi="宋体" w:eastAsia="宋体" w:cs="宋体"/>
                      <w:i w:val="0"/>
                      <w:iCs w:val="0"/>
                      <w:color w:val="auto"/>
                      <w:sz w:val="22"/>
                      <w:szCs w:val="22"/>
                      <w:u w:val="none"/>
                      <w:lang w:eastAsia="zh-CN"/>
                    </w:rPr>
                    <w:t>施工点四周，</w:t>
                  </w:r>
                  <w:r>
                    <w:rPr>
                      <w:rFonts w:hint="eastAsia" w:ascii="宋体" w:hAnsi="宋体" w:eastAsia="宋体" w:cs="宋体"/>
                      <w:i w:val="0"/>
                      <w:iCs w:val="0"/>
                      <w:color w:val="auto"/>
                      <w:kern w:val="0"/>
                      <w:sz w:val="22"/>
                      <w:szCs w:val="22"/>
                      <w:u w:val="none"/>
                      <w:lang w:val="en-US" w:eastAsia="zh-CN" w:bidi="ar"/>
                    </w:rPr>
                    <w:t>10~500m</w:t>
                  </w:r>
                </w:p>
              </w:tc>
              <w:tc>
                <w:tcPr>
                  <w:tcW w:w="1717" w:type="dxa"/>
                  <w:tcBorders>
                    <w:tl2br w:val="nil"/>
                    <w:tr2bl w:val="nil"/>
                  </w:tcBorders>
                  <w:shd w:val="clear" w:color="auto" w:fill="auto"/>
                  <w:noWrap/>
                  <w:vAlign w:val="center"/>
                </w:tcPr>
                <w:p w14:paraId="2CD9672C">
                  <w:pPr>
                    <w:keepNext w:val="0"/>
                    <w:keepLines w:val="0"/>
                    <w:widowControl/>
                    <w:suppressLineNumbers w:val="0"/>
                    <w:jc w:val="left"/>
                    <w:textAlignment w:val="center"/>
                    <w:rPr>
                      <w:rFonts w:hint="eastAsia" w:ascii="宋体" w:hAnsi="宋体" w:eastAsia="宋体" w:cs="宋体"/>
                      <w:i w:val="0"/>
                      <w:iCs w:val="0"/>
                      <w:color w:val="auto"/>
                      <w:kern w:val="2"/>
                      <w:sz w:val="22"/>
                      <w:szCs w:val="22"/>
                      <w:u w:val="none"/>
                      <w:lang w:val="en-US" w:eastAsia="zh-CN" w:bidi="ar-SA"/>
                    </w:rPr>
                  </w:pPr>
                  <w:r>
                    <w:rPr>
                      <w:rFonts w:hint="eastAsia" w:ascii="宋体" w:hAnsi="宋体" w:eastAsia="宋体" w:cs="宋体"/>
                      <w:i w:val="0"/>
                      <w:iCs w:val="0"/>
                      <w:color w:val="auto"/>
                      <w:kern w:val="0"/>
                      <w:sz w:val="22"/>
                      <w:szCs w:val="22"/>
                      <w:u w:val="none"/>
                      <w:lang w:val="en-US" w:eastAsia="zh-CN" w:bidi="ar"/>
                    </w:rPr>
                    <w:t>声环境：（GB3096）2类；大气环境：（GB3095）二级</w:t>
                  </w:r>
                </w:p>
              </w:tc>
            </w:tr>
            <w:tr w14:paraId="186ED22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tcBorders>
                    <w:tl2br w:val="nil"/>
                    <w:tr2bl w:val="nil"/>
                  </w:tcBorders>
                  <w:shd w:val="clear" w:color="auto" w:fill="auto"/>
                  <w:noWrap/>
                  <w:vAlign w:val="center"/>
                </w:tcPr>
                <w:p w14:paraId="5AEC9EE7">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sz w:val="22"/>
                      <w:szCs w:val="22"/>
                      <w:u w:val="none"/>
                      <w:lang w:eastAsia="zh-CN"/>
                    </w:rPr>
                    <w:t>大气环境</w:t>
                  </w:r>
                  <w:r>
                    <w:rPr>
                      <w:rFonts w:hint="eastAsia" w:ascii="宋体" w:hAnsi="宋体" w:eastAsia="宋体" w:cs="宋体"/>
                      <w:i w:val="0"/>
                      <w:iCs w:val="0"/>
                      <w:color w:val="auto"/>
                      <w:sz w:val="22"/>
                      <w:szCs w:val="22"/>
                      <w:u w:val="none"/>
                      <w:lang w:val="en-US" w:eastAsia="zh-CN"/>
                    </w:rPr>
                    <w:t>+声环境</w:t>
                  </w:r>
                </w:p>
              </w:tc>
              <w:tc>
                <w:tcPr>
                  <w:tcW w:w="980" w:type="dxa"/>
                  <w:tcBorders>
                    <w:tl2br w:val="nil"/>
                    <w:tr2bl w:val="nil"/>
                  </w:tcBorders>
                  <w:shd w:val="clear" w:color="auto" w:fill="auto"/>
                  <w:noWrap/>
                  <w:vAlign w:val="center"/>
                </w:tcPr>
                <w:p w14:paraId="48086C9A">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杨家屋、姚家、黎家冲、官塘坡</w:t>
                  </w:r>
                </w:p>
              </w:tc>
              <w:tc>
                <w:tcPr>
                  <w:tcW w:w="1576" w:type="dxa"/>
                  <w:tcBorders>
                    <w:tl2br w:val="nil"/>
                    <w:tr2bl w:val="nil"/>
                  </w:tcBorders>
                  <w:shd w:val="clear" w:color="auto" w:fill="auto"/>
                  <w:noWrap/>
                  <w:vAlign w:val="center"/>
                </w:tcPr>
                <w:p w14:paraId="0AD6F447">
                  <w:pPr>
                    <w:keepNext w:val="0"/>
                    <w:keepLines w:val="0"/>
                    <w:widowControl/>
                    <w:suppressLineNumbers w:val="0"/>
                    <w:jc w:val="left"/>
                    <w:textAlignment w:val="center"/>
                    <w:rPr>
                      <w:rFonts w:hint="eastAsia" w:ascii="宋体" w:hAnsi="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186071</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430915；</w:t>
                  </w: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189504</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423147；</w:t>
                  </w: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196371</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419575；</w:t>
                  </w:r>
                </w:p>
                <w:p w14:paraId="14FDEA6D">
                  <w:pPr>
                    <w:keepNext w:val="0"/>
                    <w:keepLines w:val="0"/>
                    <w:widowControl/>
                    <w:suppressLineNumbers w:val="0"/>
                    <w:jc w:val="left"/>
                    <w:textAlignment w:val="center"/>
                    <w:rPr>
                      <w:rFonts w:hint="default"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204653</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423705；</w:t>
                  </w:r>
                </w:p>
              </w:tc>
              <w:tc>
                <w:tcPr>
                  <w:tcW w:w="1427" w:type="dxa"/>
                  <w:tcBorders>
                    <w:tl2br w:val="nil"/>
                    <w:tr2bl w:val="nil"/>
                  </w:tcBorders>
                  <w:shd w:val="clear" w:color="auto" w:fill="auto"/>
                  <w:noWrap/>
                  <w:vAlign w:val="center"/>
                </w:tcPr>
                <w:p w14:paraId="2AB059E1">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约130户/400人</w:t>
                  </w:r>
                </w:p>
              </w:tc>
              <w:tc>
                <w:tcPr>
                  <w:tcW w:w="1383" w:type="dxa"/>
                  <w:tcBorders>
                    <w:tl2br w:val="nil"/>
                    <w:tr2bl w:val="nil"/>
                  </w:tcBorders>
                  <w:shd w:val="clear" w:color="auto" w:fill="auto"/>
                  <w:noWrap/>
                  <w:vAlign w:val="center"/>
                </w:tcPr>
                <w:p w14:paraId="0BA67E1B">
                  <w:pPr>
                    <w:keepNext w:val="0"/>
                    <w:keepLines w:val="0"/>
                    <w:widowControl/>
                    <w:suppressLineNumbers w:val="0"/>
                    <w:jc w:val="left"/>
                    <w:textAlignment w:val="center"/>
                    <w:rPr>
                      <w:rFonts w:hint="default" w:ascii="宋体" w:hAnsi="宋体" w:eastAsia="宋体" w:cs="宋体"/>
                      <w:i w:val="0"/>
                      <w:iCs w:val="0"/>
                      <w:color w:val="auto"/>
                      <w:kern w:val="2"/>
                      <w:sz w:val="22"/>
                      <w:szCs w:val="22"/>
                      <w:u w:val="none"/>
                      <w:lang w:val="en-US" w:eastAsia="zh-CN" w:bidi="ar-SA"/>
                    </w:rPr>
                  </w:pPr>
                  <w:r>
                    <w:rPr>
                      <w:rFonts w:hint="eastAsia" w:ascii="宋体" w:hAnsi="宋体" w:eastAsia="宋体" w:cs="宋体"/>
                      <w:i w:val="0"/>
                      <w:iCs w:val="0"/>
                      <w:color w:val="auto"/>
                      <w:sz w:val="22"/>
                      <w:szCs w:val="22"/>
                      <w:u w:val="none"/>
                      <w:lang w:eastAsia="zh-CN"/>
                    </w:rPr>
                    <w:t>施工点四周，</w:t>
                  </w:r>
                  <w:r>
                    <w:rPr>
                      <w:rFonts w:hint="default" w:ascii="Times New Roman" w:hAnsi="Times New Roman" w:eastAsia="宋体" w:cs="Times New Roman"/>
                      <w:i w:val="0"/>
                      <w:iCs w:val="0"/>
                      <w:color w:val="auto"/>
                      <w:kern w:val="0"/>
                      <w:sz w:val="22"/>
                      <w:szCs w:val="22"/>
                      <w:u w:val="none"/>
                      <w:lang w:val="en-US" w:eastAsia="zh-CN" w:bidi="ar"/>
                    </w:rPr>
                    <w:t>10~500</w:t>
                  </w:r>
                  <w:r>
                    <w:rPr>
                      <w:rFonts w:hint="eastAsia" w:ascii="宋体" w:hAnsi="宋体" w:eastAsia="宋体" w:cs="宋体"/>
                      <w:i w:val="0"/>
                      <w:iCs w:val="0"/>
                      <w:color w:val="auto"/>
                      <w:kern w:val="0"/>
                      <w:sz w:val="22"/>
                      <w:szCs w:val="22"/>
                      <w:u w:val="none"/>
                      <w:lang w:val="en-US" w:eastAsia="zh-CN" w:bidi="ar"/>
                    </w:rPr>
                    <w:t>m</w:t>
                  </w:r>
                </w:p>
              </w:tc>
              <w:tc>
                <w:tcPr>
                  <w:tcW w:w="1717" w:type="dxa"/>
                  <w:tcBorders>
                    <w:tl2br w:val="nil"/>
                    <w:tr2bl w:val="nil"/>
                  </w:tcBorders>
                  <w:shd w:val="clear" w:color="auto" w:fill="auto"/>
                  <w:noWrap/>
                  <w:vAlign w:val="center"/>
                </w:tcPr>
                <w:p w14:paraId="7F1728B6">
                  <w:pPr>
                    <w:keepNext w:val="0"/>
                    <w:keepLines w:val="0"/>
                    <w:widowControl/>
                    <w:suppressLineNumbers w:val="0"/>
                    <w:jc w:val="left"/>
                    <w:textAlignment w:val="center"/>
                    <w:rPr>
                      <w:rFonts w:hint="eastAsia" w:ascii="宋体" w:hAnsi="宋体" w:eastAsia="宋体" w:cs="宋体"/>
                      <w:i w:val="0"/>
                      <w:iCs w:val="0"/>
                      <w:color w:val="auto"/>
                      <w:kern w:val="2"/>
                      <w:sz w:val="22"/>
                      <w:szCs w:val="22"/>
                      <w:u w:val="none"/>
                      <w:lang w:val="en-US" w:eastAsia="zh-CN" w:bidi="ar-SA"/>
                    </w:rPr>
                  </w:pPr>
                  <w:r>
                    <w:rPr>
                      <w:rFonts w:hint="eastAsia" w:ascii="宋体" w:hAnsi="宋体" w:eastAsia="宋体" w:cs="宋体"/>
                      <w:i w:val="0"/>
                      <w:iCs w:val="0"/>
                      <w:color w:val="auto"/>
                      <w:kern w:val="0"/>
                      <w:sz w:val="22"/>
                      <w:szCs w:val="22"/>
                      <w:u w:val="none"/>
                      <w:lang w:val="en-US" w:eastAsia="zh-CN" w:bidi="ar"/>
                    </w:rPr>
                    <w:t>声环境：（GB3096）2类；大气环境：（GB3095）二级</w:t>
                  </w:r>
                </w:p>
              </w:tc>
            </w:tr>
            <w:tr w14:paraId="61C537C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tcBorders>
                    <w:tl2br w:val="nil"/>
                    <w:tr2bl w:val="nil"/>
                  </w:tcBorders>
                  <w:shd w:val="clear" w:color="auto" w:fill="auto"/>
                  <w:noWrap/>
                  <w:vAlign w:val="center"/>
                </w:tcPr>
                <w:p w14:paraId="4333A30A">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sz w:val="22"/>
                      <w:szCs w:val="22"/>
                      <w:u w:val="none"/>
                      <w:lang w:eastAsia="zh-CN"/>
                    </w:rPr>
                    <w:t>大气环境</w:t>
                  </w:r>
                </w:p>
              </w:tc>
              <w:tc>
                <w:tcPr>
                  <w:tcW w:w="980" w:type="dxa"/>
                  <w:tcBorders>
                    <w:tl2br w:val="nil"/>
                    <w:tr2bl w:val="nil"/>
                  </w:tcBorders>
                  <w:shd w:val="clear" w:color="auto" w:fill="auto"/>
                  <w:noWrap/>
                  <w:vAlign w:val="center"/>
                </w:tcPr>
                <w:p w14:paraId="1DC2D4AE">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cs="宋体"/>
                      <w:i w:val="0"/>
                      <w:iCs w:val="0"/>
                      <w:color w:val="auto"/>
                      <w:kern w:val="0"/>
                      <w:sz w:val="22"/>
                      <w:szCs w:val="22"/>
                      <w:u w:val="none"/>
                      <w:lang w:val="en-US" w:eastAsia="zh-CN" w:bidi="ar"/>
                    </w:rPr>
                    <w:t>王家新屋、仓田村、廖家垅、民族学府、洞庭高级中学</w:t>
                  </w:r>
                </w:p>
              </w:tc>
              <w:tc>
                <w:tcPr>
                  <w:tcW w:w="1576" w:type="dxa"/>
                  <w:tcBorders>
                    <w:tl2br w:val="nil"/>
                    <w:tr2bl w:val="nil"/>
                  </w:tcBorders>
                  <w:shd w:val="clear" w:color="auto" w:fill="auto"/>
                  <w:noWrap/>
                  <w:vAlign w:val="center"/>
                </w:tcPr>
                <w:p w14:paraId="7D46765B">
                  <w:pPr>
                    <w:keepNext w:val="0"/>
                    <w:keepLines w:val="0"/>
                    <w:widowControl/>
                    <w:suppressLineNumbers w:val="0"/>
                    <w:jc w:val="left"/>
                    <w:textAlignment w:val="center"/>
                    <w:rPr>
                      <w:rFonts w:hint="eastAsia" w:ascii="宋体" w:hAnsi="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154915</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307641；</w:t>
                  </w:r>
                </w:p>
                <w:p w14:paraId="4CA99A60">
                  <w:pPr>
                    <w:keepNext w:val="0"/>
                    <w:keepLines w:val="0"/>
                    <w:widowControl/>
                    <w:suppressLineNumbers w:val="0"/>
                    <w:jc w:val="left"/>
                    <w:textAlignment w:val="center"/>
                    <w:rPr>
                      <w:rFonts w:hint="eastAsia" w:ascii="宋体" w:hAnsi="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150256</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302304；</w:t>
                  </w:r>
                </w:p>
                <w:p w14:paraId="2F0F2EF0">
                  <w:pPr>
                    <w:keepNext w:val="0"/>
                    <w:keepLines w:val="0"/>
                    <w:widowControl/>
                    <w:suppressLineNumbers w:val="0"/>
                    <w:jc w:val="left"/>
                    <w:textAlignment w:val="center"/>
                    <w:rPr>
                      <w:rFonts w:hint="eastAsia" w:ascii="宋体" w:hAnsi="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159917</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300050；</w:t>
                  </w: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151162</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298387；</w:t>
                  </w: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157535</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301660；</w:t>
                  </w:r>
                </w:p>
              </w:tc>
              <w:tc>
                <w:tcPr>
                  <w:tcW w:w="1427" w:type="dxa"/>
                  <w:tcBorders>
                    <w:tl2br w:val="nil"/>
                    <w:tr2bl w:val="nil"/>
                  </w:tcBorders>
                  <w:shd w:val="clear" w:color="auto" w:fill="auto"/>
                  <w:noWrap/>
                  <w:vAlign w:val="center"/>
                </w:tcPr>
                <w:p w14:paraId="24C9BA1D">
                  <w:pPr>
                    <w:keepNext w:val="0"/>
                    <w:keepLines w:val="0"/>
                    <w:widowControl/>
                    <w:suppressLineNumbers w:val="0"/>
                    <w:jc w:val="left"/>
                    <w:textAlignment w:val="center"/>
                    <w:rPr>
                      <w:rFonts w:hint="eastAsia" w:ascii="宋体" w:hAnsi="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约</w:t>
                  </w:r>
                  <w:r>
                    <w:rPr>
                      <w:rFonts w:hint="eastAsia" w:ascii="宋体" w:hAnsi="宋体" w:cs="宋体"/>
                      <w:i w:val="0"/>
                      <w:iCs w:val="0"/>
                      <w:color w:val="auto"/>
                      <w:kern w:val="0"/>
                      <w:sz w:val="22"/>
                      <w:szCs w:val="22"/>
                      <w:u w:val="none"/>
                      <w:lang w:val="en-US" w:eastAsia="zh-CN" w:bidi="ar"/>
                    </w:rPr>
                    <w:t>3</w:t>
                  </w:r>
                  <w:r>
                    <w:rPr>
                      <w:rFonts w:hint="eastAsia" w:ascii="宋体" w:hAnsi="宋体" w:eastAsia="宋体" w:cs="宋体"/>
                      <w:i w:val="0"/>
                      <w:iCs w:val="0"/>
                      <w:color w:val="auto"/>
                      <w:kern w:val="0"/>
                      <w:sz w:val="22"/>
                      <w:szCs w:val="22"/>
                      <w:u w:val="none"/>
                      <w:lang w:val="en-US" w:eastAsia="zh-CN" w:bidi="ar"/>
                    </w:rPr>
                    <w:t>30户/</w:t>
                  </w:r>
                  <w:r>
                    <w:rPr>
                      <w:rFonts w:hint="eastAsia" w:ascii="宋体" w:hAnsi="宋体" w:cs="宋体"/>
                      <w:i w:val="0"/>
                      <w:iCs w:val="0"/>
                      <w:color w:val="auto"/>
                      <w:kern w:val="0"/>
                      <w:sz w:val="22"/>
                      <w:szCs w:val="22"/>
                      <w:u w:val="none"/>
                      <w:lang w:val="en-US" w:eastAsia="zh-CN" w:bidi="ar"/>
                    </w:rPr>
                    <w:t>130</w:t>
                  </w:r>
                  <w:r>
                    <w:rPr>
                      <w:rFonts w:hint="eastAsia" w:ascii="宋体" w:hAnsi="宋体" w:eastAsia="宋体" w:cs="宋体"/>
                      <w:i w:val="0"/>
                      <w:iCs w:val="0"/>
                      <w:color w:val="auto"/>
                      <w:kern w:val="0"/>
                      <w:sz w:val="22"/>
                      <w:szCs w:val="22"/>
                      <w:u w:val="none"/>
                      <w:lang w:val="en-US" w:eastAsia="zh-CN" w:bidi="ar"/>
                    </w:rPr>
                    <w:t>0人</w:t>
                  </w:r>
                  <w:r>
                    <w:rPr>
                      <w:rFonts w:hint="eastAsia" w:ascii="宋体" w:hAnsi="宋体" w:cs="宋体"/>
                      <w:i w:val="0"/>
                      <w:iCs w:val="0"/>
                      <w:color w:val="auto"/>
                      <w:kern w:val="0"/>
                      <w:sz w:val="22"/>
                      <w:szCs w:val="22"/>
                      <w:u w:val="none"/>
                      <w:lang w:val="en-US" w:eastAsia="zh-CN" w:bidi="ar"/>
                    </w:rPr>
                    <w:t>；</w:t>
                  </w:r>
                </w:p>
                <w:p w14:paraId="011ADAC9">
                  <w:pPr>
                    <w:keepNext w:val="0"/>
                    <w:keepLines w:val="0"/>
                    <w:widowControl/>
                    <w:suppressLineNumbers w:val="0"/>
                    <w:jc w:val="left"/>
                    <w:textAlignment w:val="center"/>
                    <w:rPr>
                      <w:rFonts w:hint="eastAsia" w:ascii="宋体" w:hAnsi="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师生约</w:t>
                  </w:r>
                  <w:r>
                    <w:rPr>
                      <w:rFonts w:hint="eastAsia" w:ascii="宋体" w:hAnsi="宋体" w:cs="宋体"/>
                      <w:i w:val="0"/>
                      <w:iCs w:val="0"/>
                      <w:color w:val="auto"/>
                      <w:kern w:val="0"/>
                      <w:sz w:val="22"/>
                      <w:szCs w:val="22"/>
                      <w:u w:val="none"/>
                      <w:lang w:val="en-US" w:eastAsia="zh-CN" w:bidi="ar"/>
                    </w:rPr>
                    <w:t>1</w:t>
                  </w:r>
                  <w:r>
                    <w:rPr>
                      <w:rFonts w:hint="eastAsia" w:ascii="宋体" w:hAnsi="宋体" w:eastAsia="宋体" w:cs="宋体"/>
                      <w:i w:val="0"/>
                      <w:iCs w:val="0"/>
                      <w:color w:val="auto"/>
                      <w:kern w:val="0"/>
                      <w:sz w:val="22"/>
                      <w:szCs w:val="22"/>
                      <w:u w:val="none"/>
                      <w:lang w:val="en-US" w:eastAsia="zh-CN" w:bidi="ar"/>
                    </w:rPr>
                    <w:t>900人</w:t>
                  </w:r>
                </w:p>
              </w:tc>
              <w:tc>
                <w:tcPr>
                  <w:tcW w:w="1383" w:type="dxa"/>
                  <w:tcBorders>
                    <w:tl2br w:val="nil"/>
                    <w:tr2bl w:val="nil"/>
                  </w:tcBorders>
                  <w:shd w:val="clear" w:color="auto" w:fill="auto"/>
                  <w:noWrap/>
                  <w:vAlign w:val="center"/>
                </w:tcPr>
                <w:p w14:paraId="1CC13E98">
                  <w:pPr>
                    <w:keepNext w:val="0"/>
                    <w:keepLines w:val="0"/>
                    <w:widowControl/>
                    <w:suppressLineNumbers w:val="0"/>
                    <w:jc w:val="left"/>
                    <w:textAlignment w:val="center"/>
                    <w:rPr>
                      <w:rFonts w:hint="eastAsia" w:ascii="宋体" w:hAnsi="宋体" w:eastAsia="宋体" w:cs="宋体"/>
                      <w:i w:val="0"/>
                      <w:iCs w:val="0"/>
                      <w:color w:val="auto"/>
                      <w:kern w:val="2"/>
                      <w:sz w:val="22"/>
                      <w:szCs w:val="22"/>
                      <w:u w:val="none"/>
                      <w:lang w:val="en-US" w:eastAsia="zh-CN" w:bidi="ar-SA"/>
                    </w:rPr>
                  </w:pPr>
                  <w:r>
                    <w:rPr>
                      <w:rFonts w:hint="eastAsia" w:ascii="宋体" w:hAnsi="宋体" w:cs="宋体"/>
                      <w:i w:val="0"/>
                      <w:iCs w:val="0"/>
                      <w:color w:val="auto"/>
                      <w:kern w:val="2"/>
                      <w:sz w:val="22"/>
                      <w:szCs w:val="22"/>
                      <w:u w:val="none"/>
                      <w:lang w:val="en-US" w:eastAsia="zh-CN" w:bidi="ar-SA"/>
                    </w:rPr>
                    <w:t>泵站，23</w:t>
                  </w:r>
                  <w:r>
                    <w:rPr>
                      <w:rFonts w:hint="eastAsia" w:ascii="宋体" w:hAnsi="宋体" w:cs="宋体"/>
                      <w:i w:val="0"/>
                      <w:iCs w:val="0"/>
                      <w:color w:val="auto"/>
                      <w:kern w:val="0"/>
                      <w:sz w:val="22"/>
                      <w:szCs w:val="22"/>
                      <w:u w:val="none"/>
                      <w:lang w:val="en-US" w:eastAsia="zh-CN" w:bidi="ar"/>
                    </w:rPr>
                    <w:t>0～500</w:t>
                  </w:r>
                  <w:r>
                    <w:rPr>
                      <w:rFonts w:hint="eastAsia" w:ascii="宋体" w:hAnsi="宋体" w:eastAsia="宋体" w:cs="宋体"/>
                      <w:i w:val="0"/>
                      <w:iCs w:val="0"/>
                      <w:color w:val="auto"/>
                      <w:kern w:val="0"/>
                      <w:sz w:val="22"/>
                      <w:szCs w:val="22"/>
                      <w:u w:val="none"/>
                      <w:lang w:val="en-US" w:eastAsia="zh-CN" w:bidi="ar"/>
                    </w:rPr>
                    <w:t>m</w:t>
                  </w:r>
                </w:p>
              </w:tc>
              <w:tc>
                <w:tcPr>
                  <w:tcW w:w="1717" w:type="dxa"/>
                  <w:tcBorders>
                    <w:tl2br w:val="nil"/>
                    <w:tr2bl w:val="nil"/>
                  </w:tcBorders>
                  <w:shd w:val="clear" w:color="auto" w:fill="auto"/>
                  <w:noWrap/>
                  <w:vAlign w:val="center"/>
                </w:tcPr>
                <w:p w14:paraId="0843B323">
                  <w:pPr>
                    <w:keepNext w:val="0"/>
                    <w:keepLines w:val="0"/>
                    <w:widowControl/>
                    <w:suppressLineNumbers w:val="0"/>
                    <w:jc w:val="left"/>
                    <w:textAlignment w:val="center"/>
                    <w:rPr>
                      <w:rFonts w:hint="eastAsia" w:ascii="宋体" w:hAnsi="宋体" w:eastAsia="宋体" w:cs="宋体"/>
                      <w:i w:val="0"/>
                      <w:iCs w:val="0"/>
                      <w:color w:val="auto"/>
                      <w:kern w:val="2"/>
                      <w:sz w:val="22"/>
                      <w:szCs w:val="22"/>
                      <w:u w:val="none"/>
                      <w:lang w:val="en-US" w:eastAsia="zh-CN" w:bidi="ar-SA"/>
                    </w:rPr>
                  </w:pPr>
                  <w:r>
                    <w:rPr>
                      <w:rFonts w:hint="eastAsia" w:ascii="宋体" w:hAnsi="宋体" w:eastAsia="宋体" w:cs="宋体"/>
                      <w:i w:val="0"/>
                      <w:iCs w:val="0"/>
                      <w:color w:val="auto"/>
                      <w:kern w:val="0"/>
                      <w:sz w:val="22"/>
                      <w:szCs w:val="22"/>
                      <w:u w:val="none"/>
                      <w:lang w:val="en-US" w:eastAsia="zh-CN" w:bidi="ar"/>
                    </w:rPr>
                    <w:t>大气环境：（GB3095）二级</w:t>
                  </w:r>
                </w:p>
              </w:tc>
            </w:tr>
            <w:tr w14:paraId="0514678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tcBorders>
                    <w:tl2br w:val="nil"/>
                    <w:tr2bl w:val="nil"/>
                  </w:tcBorders>
                  <w:shd w:val="clear" w:color="auto" w:fill="auto"/>
                  <w:noWrap/>
                  <w:vAlign w:val="center"/>
                </w:tcPr>
                <w:p w14:paraId="1E2CAB7E">
                  <w:pPr>
                    <w:keepNext w:val="0"/>
                    <w:keepLines w:val="0"/>
                    <w:widowControl/>
                    <w:suppressLineNumbers w:val="0"/>
                    <w:jc w:val="center"/>
                    <w:textAlignment w:val="center"/>
                    <w:rPr>
                      <w:rFonts w:hint="eastAsia" w:ascii="宋体" w:hAnsi="宋体" w:eastAsia="宋体" w:cs="宋体"/>
                      <w:i w:val="0"/>
                      <w:iCs w:val="0"/>
                      <w:color w:val="auto"/>
                      <w:kern w:val="2"/>
                      <w:sz w:val="22"/>
                      <w:szCs w:val="22"/>
                      <w:u w:val="none"/>
                      <w:lang w:val="en-US" w:eastAsia="zh-CN" w:bidi="ar-SA"/>
                    </w:rPr>
                  </w:pPr>
                  <w:r>
                    <w:rPr>
                      <w:rFonts w:hint="eastAsia" w:ascii="宋体" w:hAnsi="宋体" w:cs="宋体"/>
                      <w:i w:val="0"/>
                      <w:iCs w:val="0"/>
                      <w:color w:val="auto"/>
                      <w:sz w:val="22"/>
                      <w:szCs w:val="22"/>
                      <w:u w:val="none"/>
                      <w:lang w:eastAsia="zh-CN"/>
                    </w:rPr>
                    <w:t>声环境</w:t>
                  </w:r>
                </w:p>
              </w:tc>
              <w:tc>
                <w:tcPr>
                  <w:tcW w:w="980" w:type="dxa"/>
                  <w:tcBorders>
                    <w:tl2br w:val="nil"/>
                    <w:tr2bl w:val="nil"/>
                  </w:tcBorders>
                  <w:shd w:val="clear" w:color="auto" w:fill="auto"/>
                  <w:noWrap/>
                  <w:vAlign w:val="center"/>
                </w:tcPr>
                <w:p w14:paraId="5AA1B856">
                  <w:pPr>
                    <w:keepNext w:val="0"/>
                    <w:keepLines w:val="0"/>
                    <w:widowControl/>
                    <w:suppressLineNumbers w:val="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cs="宋体"/>
                      <w:i w:val="0"/>
                      <w:iCs w:val="0"/>
                      <w:color w:val="auto"/>
                      <w:kern w:val="0"/>
                      <w:sz w:val="22"/>
                      <w:szCs w:val="22"/>
                      <w:u w:val="none"/>
                      <w:lang w:val="en-US" w:eastAsia="zh-CN" w:bidi="ar"/>
                    </w:rPr>
                    <w:t>/</w:t>
                  </w:r>
                </w:p>
              </w:tc>
              <w:tc>
                <w:tcPr>
                  <w:tcW w:w="1576" w:type="dxa"/>
                  <w:tcBorders>
                    <w:tl2br w:val="nil"/>
                    <w:tr2bl w:val="nil"/>
                  </w:tcBorders>
                  <w:shd w:val="clear" w:color="auto" w:fill="auto"/>
                  <w:noWrap/>
                  <w:vAlign w:val="center"/>
                </w:tcPr>
                <w:p w14:paraId="1299B025">
                  <w:pPr>
                    <w:keepNext w:val="0"/>
                    <w:keepLines w:val="0"/>
                    <w:widowControl/>
                    <w:suppressLineNumbers w:val="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cs="宋体"/>
                      <w:i w:val="0"/>
                      <w:iCs w:val="0"/>
                      <w:color w:val="auto"/>
                      <w:kern w:val="0"/>
                      <w:sz w:val="22"/>
                      <w:szCs w:val="22"/>
                      <w:u w:val="none"/>
                      <w:lang w:val="en-US" w:eastAsia="zh-CN" w:bidi="ar"/>
                    </w:rPr>
                    <w:t>/</w:t>
                  </w:r>
                </w:p>
              </w:tc>
              <w:tc>
                <w:tcPr>
                  <w:tcW w:w="1427" w:type="dxa"/>
                  <w:tcBorders>
                    <w:tl2br w:val="nil"/>
                    <w:tr2bl w:val="nil"/>
                  </w:tcBorders>
                  <w:shd w:val="clear" w:color="auto" w:fill="auto"/>
                  <w:noWrap/>
                  <w:vAlign w:val="center"/>
                </w:tcPr>
                <w:p w14:paraId="0D871938">
                  <w:pPr>
                    <w:keepNext w:val="0"/>
                    <w:keepLines w:val="0"/>
                    <w:widowControl/>
                    <w:suppressLineNumbers w:val="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cs="宋体"/>
                      <w:i w:val="0"/>
                      <w:iCs w:val="0"/>
                      <w:color w:val="auto"/>
                      <w:kern w:val="0"/>
                      <w:sz w:val="22"/>
                      <w:szCs w:val="22"/>
                      <w:u w:val="none"/>
                      <w:lang w:val="en-US" w:eastAsia="zh-CN" w:bidi="ar"/>
                    </w:rPr>
                    <w:t>/</w:t>
                  </w:r>
                </w:p>
              </w:tc>
              <w:tc>
                <w:tcPr>
                  <w:tcW w:w="1383" w:type="dxa"/>
                  <w:tcBorders>
                    <w:tl2br w:val="nil"/>
                    <w:tr2bl w:val="nil"/>
                  </w:tcBorders>
                  <w:shd w:val="clear" w:color="auto" w:fill="auto"/>
                  <w:noWrap/>
                  <w:vAlign w:val="center"/>
                </w:tcPr>
                <w:p w14:paraId="60CD1DF6">
                  <w:pPr>
                    <w:keepNext w:val="0"/>
                    <w:keepLines w:val="0"/>
                    <w:widowControl/>
                    <w:suppressLineNumbers w:val="0"/>
                    <w:jc w:val="left"/>
                    <w:textAlignment w:val="center"/>
                    <w:rPr>
                      <w:rFonts w:hint="eastAsia" w:ascii="宋体" w:hAnsi="宋体" w:eastAsia="宋体" w:cs="宋体"/>
                      <w:i w:val="0"/>
                      <w:iCs w:val="0"/>
                      <w:color w:val="auto"/>
                      <w:kern w:val="2"/>
                      <w:sz w:val="22"/>
                      <w:szCs w:val="22"/>
                      <w:u w:val="none"/>
                      <w:lang w:val="en-US" w:eastAsia="zh-CN" w:bidi="ar-SA"/>
                    </w:rPr>
                  </w:pPr>
                  <w:r>
                    <w:rPr>
                      <w:rFonts w:hint="eastAsia" w:ascii="宋体" w:hAnsi="宋体" w:cs="宋体"/>
                      <w:i w:val="0"/>
                      <w:iCs w:val="0"/>
                      <w:color w:val="auto"/>
                      <w:sz w:val="22"/>
                      <w:szCs w:val="22"/>
                      <w:u w:val="none"/>
                      <w:lang w:eastAsia="zh-CN"/>
                    </w:rPr>
                    <w:t>泵站</w:t>
                  </w:r>
                  <w:r>
                    <w:rPr>
                      <w:rFonts w:hint="eastAsia" w:ascii="宋体" w:hAnsi="宋体" w:eastAsia="宋体" w:cs="宋体"/>
                      <w:i w:val="0"/>
                      <w:iCs w:val="0"/>
                      <w:color w:val="auto"/>
                      <w:sz w:val="22"/>
                      <w:szCs w:val="22"/>
                      <w:u w:val="none"/>
                      <w:lang w:eastAsia="zh-CN"/>
                    </w:rPr>
                    <w:t>，</w:t>
                  </w:r>
                  <w:r>
                    <w:rPr>
                      <w:rFonts w:hint="eastAsia" w:ascii="宋体" w:hAnsi="宋体" w:cs="宋体"/>
                      <w:i w:val="0"/>
                      <w:iCs w:val="0"/>
                      <w:color w:val="auto"/>
                      <w:kern w:val="0"/>
                      <w:sz w:val="22"/>
                      <w:szCs w:val="22"/>
                      <w:u w:val="none"/>
                      <w:lang w:val="en-US" w:eastAsia="zh-CN" w:bidi="ar"/>
                    </w:rPr>
                    <w:t>0～200</w:t>
                  </w:r>
                  <w:r>
                    <w:rPr>
                      <w:rFonts w:hint="eastAsia" w:ascii="宋体" w:hAnsi="宋体" w:eastAsia="宋体" w:cs="宋体"/>
                      <w:i w:val="0"/>
                      <w:iCs w:val="0"/>
                      <w:color w:val="auto"/>
                      <w:kern w:val="0"/>
                      <w:sz w:val="22"/>
                      <w:szCs w:val="22"/>
                      <w:u w:val="none"/>
                      <w:lang w:val="en-US" w:eastAsia="zh-CN" w:bidi="ar"/>
                    </w:rPr>
                    <w:t>m</w:t>
                  </w:r>
                </w:p>
              </w:tc>
              <w:tc>
                <w:tcPr>
                  <w:tcW w:w="1717" w:type="dxa"/>
                  <w:tcBorders>
                    <w:tl2br w:val="nil"/>
                    <w:tr2bl w:val="nil"/>
                  </w:tcBorders>
                  <w:shd w:val="clear" w:color="auto" w:fill="auto"/>
                  <w:noWrap/>
                  <w:vAlign w:val="center"/>
                </w:tcPr>
                <w:p w14:paraId="0EB69C16">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声环境：（GB3096）2类</w:t>
                  </w:r>
                </w:p>
              </w:tc>
            </w:tr>
            <w:tr w14:paraId="72F38C6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8220" w:type="dxa"/>
                  <w:gridSpan w:val="6"/>
                  <w:tcBorders>
                    <w:tl2br w:val="nil"/>
                    <w:tr2bl w:val="nil"/>
                  </w:tcBorders>
                  <w:shd w:val="clear" w:color="auto" w:fill="auto"/>
                  <w:noWrap/>
                  <w:vAlign w:val="center"/>
                </w:tcPr>
                <w:p w14:paraId="6F795621">
                  <w:pP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三、地表水环境</w:t>
                  </w:r>
                </w:p>
              </w:tc>
            </w:tr>
            <w:tr w14:paraId="037CE18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tcBorders>
                    <w:tl2br w:val="nil"/>
                    <w:tr2bl w:val="nil"/>
                  </w:tcBorders>
                  <w:shd w:val="clear" w:color="auto" w:fill="auto"/>
                  <w:noWrap/>
                  <w:vAlign w:val="center"/>
                </w:tcPr>
                <w:p w14:paraId="5EF50161">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地表水</w:t>
                  </w:r>
                </w:p>
              </w:tc>
              <w:tc>
                <w:tcPr>
                  <w:tcW w:w="980" w:type="dxa"/>
                  <w:tcBorders>
                    <w:tl2br w:val="nil"/>
                    <w:tr2bl w:val="nil"/>
                  </w:tcBorders>
                  <w:shd w:val="clear" w:color="auto" w:fill="auto"/>
                  <w:noWrap/>
                  <w:vAlign w:val="center"/>
                </w:tcPr>
                <w:p w14:paraId="1C071095">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王家河</w:t>
                  </w:r>
                  <w:r>
                    <w:rPr>
                      <w:rFonts w:hint="eastAsia" w:ascii="宋体" w:hAnsi="宋体" w:cs="宋体"/>
                      <w:i w:val="0"/>
                      <w:iCs w:val="0"/>
                      <w:color w:val="auto"/>
                      <w:kern w:val="0"/>
                      <w:sz w:val="22"/>
                      <w:szCs w:val="22"/>
                      <w:u w:val="none"/>
                      <w:lang w:val="en-US" w:eastAsia="zh-CN" w:bidi="ar"/>
                    </w:rPr>
                    <w:t>（王家桥河）</w:t>
                  </w:r>
                </w:p>
              </w:tc>
              <w:tc>
                <w:tcPr>
                  <w:tcW w:w="1576" w:type="dxa"/>
                  <w:tcBorders>
                    <w:tl2br w:val="nil"/>
                    <w:tr2bl w:val="nil"/>
                  </w:tcBorders>
                  <w:shd w:val="clear" w:color="auto" w:fill="auto"/>
                  <w:noWrap/>
                  <w:vAlign w:val="center"/>
                </w:tcPr>
                <w:p w14:paraId="3F1BA2B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150344</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379245；</w:t>
                  </w:r>
                </w:p>
              </w:tc>
              <w:tc>
                <w:tcPr>
                  <w:tcW w:w="1427" w:type="dxa"/>
                  <w:tcBorders>
                    <w:tl2br w:val="nil"/>
                    <w:tr2bl w:val="nil"/>
                  </w:tcBorders>
                  <w:shd w:val="clear" w:color="auto" w:fill="auto"/>
                  <w:noWrap/>
                  <w:vAlign w:val="center"/>
                </w:tcPr>
                <w:p w14:paraId="1F6D3036">
                  <w:pPr>
                    <w:keepNext w:val="0"/>
                    <w:keepLines w:val="0"/>
                    <w:widowControl/>
                    <w:suppressLineNumbers w:val="0"/>
                    <w:jc w:val="left"/>
                    <w:textAlignment w:val="center"/>
                    <w:rPr>
                      <w:rFonts w:hint="default" w:ascii="宋体" w:hAnsi="宋体" w:eastAsia="宋体" w:cs="宋体"/>
                      <w:i w:val="0"/>
                      <w:iCs w:val="0"/>
                      <w:color w:val="auto"/>
                      <w:sz w:val="22"/>
                      <w:szCs w:val="22"/>
                      <w:u w:val="none"/>
                      <w:lang w:val="en-US" w:eastAsia="zh-CN"/>
                    </w:rPr>
                  </w:pPr>
                  <w:r>
                    <w:rPr>
                      <w:rFonts w:hint="eastAsia" w:ascii="宋体" w:hAnsi="宋体" w:cs="宋体"/>
                      <w:i w:val="0"/>
                      <w:iCs w:val="0"/>
                      <w:color w:val="auto"/>
                      <w:sz w:val="22"/>
                      <w:szCs w:val="22"/>
                      <w:u w:val="none"/>
                      <w:lang w:val="en-US" w:eastAsia="zh-CN"/>
                    </w:rPr>
                    <w:t>生态系统</w:t>
                  </w:r>
                </w:p>
              </w:tc>
              <w:tc>
                <w:tcPr>
                  <w:tcW w:w="1383" w:type="dxa"/>
                  <w:tcBorders>
                    <w:tl2br w:val="nil"/>
                    <w:tr2bl w:val="nil"/>
                  </w:tcBorders>
                  <w:shd w:val="clear" w:color="auto" w:fill="auto"/>
                  <w:noWrap/>
                  <w:vAlign w:val="center"/>
                </w:tcPr>
                <w:p w14:paraId="43249833">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排水受纳水体</w:t>
                  </w:r>
                </w:p>
              </w:tc>
              <w:tc>
                <w:tcPr>
                  <w:tcW w:w="1717" w:type="dxa"/>
                  <w:vMerge w:val="restart"/>
                  <w:tcBorders>
                    <w:tl2br w:val="nil"/>
                    <w:tr2bl w:val="nil"/>
                  </w:tcBorders>
                  <w:shd w:val="clear" w:color="auto" w:fill="auto"/>
                  <w:noWrap/>
                  <w:vAlign w:val="center"/>
                </w:tcPr>
                <w:p w14:paraId="1B6104C6">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《地表水环境质量标准》（GB3838-2002）Ⅲ类</w:t>
                  </w:r>
                </w:p>
              </w:tc>
            </w:tr>
            <w:tr w14:paraId="412FA38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tcBorders>
                    <w:tl2br w:val="nil"/>
                    <w:tr2bl w:val="nil"/>
                  </w:tcBorders>
                  <w:shd w:val="clear" w:color="auto" w:fill="auto"/>
                  <w:noWrap/>
                  <w:vAlign w:val="center"/>
                </w:tcPr>
                <w:p w14:paraId="65ABF5FC">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地表水</w:t>
                  </w:r>
                </w:p>
              </w:tc>
              <w:tc>
                <w:tcPr>
                  <w:tcW w:w="980" w:type="dxa"/>
                  <w:tcBorders>
                    <w:tl2br w:val="nil"/>
                    <w:tr2bl w:val="nil"/>
                  </w:tcBorders>
                  <w:shd w:val="clear" w:color="auto" w:fill="auto"/>
                  <w:noWrap/>
                  <w:vAlign w:val="center"/>
                </w:tcPr>
                <w:p w14:paraId="2AFEF9CE">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南湖</w:t>
                  </w:r>
                </w:p>
              </w:tc>
              <w:tc>
                <w:tcPr>
                  <w:tcW w:w="1576" w:type="dxa"/>
                  <w:tcBorders>
                    <w:tl2br w:val="nil"/>
                    <w:tr2bl w:val="nil"/>
                  </w:tcBorders>
                  <w:shd w:val="clear" w:color="auto" w:fill="auto"/>
                  <w:noWrap/>
                  <w:vAlign w:val="center"/>
                </w:tcPr>
                <w:p w14:paraId="503833E4">
                  <w:pPr>
                    <w:keepNext w:val="0"/>
                    <w:keepLines w:val="0"/>
                    <w:widowControl/>
                    <w:suppressLineNumbers w:val="0"/>
                    <w:jc w:val="center"/>
                    <w:textAlignment w:val="center"/>
                    <w:rPr>
                      <w:rFonts w:hint="default" w:ascii="宋体" w:hAnsi="宋体" w:eastAsia="宋体" w:cs="宋体"/>
                      <w:i w:val="0"/>
                      <w:iCs w:val="0"/>
                      <w:color w:val="auto"/>
                      <w:sz w:val="22"/>
                      <w:szCs w:val="22"/>
                      <w:u w:val="none"/>
                      <w:lang w:val="en-US"/>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093782</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351629</w:t>
                  </w:r>
                </w:p>
              </w:tc>
              <w:tc>
                <w:tcPr>
                  <w:tcW w:w="1427" w:type="dxa"/>
                  <w:tcBorders>
                    <w:tl2br w:val="nil"/>
                    <w:tr2bl w:val="nil"/>
                  </w:tcBorders>
                  <w:shd w:val="clear" w:color="auto" w:fill="auto"/>
                  <w:noWrap/>
                  <w:vAlign w:val="center"/>
                </w:tcPr>
                <w:p w14:paraId="63329D2C">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南湖风景区</w:t>
                  </w:r>
                </w:p>
              </w:tc>
              <w:tc>
                <w:tcPr>
                  <w:tcW w:w="1383" w:type="dxa"/>
                  <w:tcBorders>
                    <w:tl2br w:val="nil"/>
                    <w:tr2bl w:val="nil"/>
                  </w:tcBorders>
                  <w:shd w:val="clear" w:color="auto" w:fill="auto"/>
                  <w:noWrap/>
                  <w:vAlign w:val="center"/>
                </w:tcPr>
                <w:p w14:paraId="09567677">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项目位于南湖汇水范围</w:t>
                  </w:r>
                </w:p>
              </w:tc>
              <w:tc>
                <w:tcPr>
                  <w:tcW w:w="1717" w:type="dxa"/>
                  <w:vMerge w:val="continue"/>
                  <w:tcBorders>
                    <w:tl2br w:val="nil"/>
                    <w:tr2bl w:val="nil"/>
                  </w:tcBorders>
                  <w:shd w:val="clear" w:color="auto" w:fill="auto"/>
                  <w:noWrap/>
                  <w:vAlign w:val="center"/>
                </w:tcPr>
                <w:p w14:paraId="3FBFB1C5">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p>
              </w:tc>
            </w:tr>
            <w:tr w14:paraId="46C5C6B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8220" w:type="dxa"/>
                  <w:gridSpan w:val="6"/>
                  <w:tcBorders>
                    <w:tl2br w:val="nil"/>
                    <w:tr2bl w:val="nil"/>
                  </w:tcBorders>
                  <w:shd w:val="clear" w:color="auto" w:fill="auto"/>
                  <w:noWrap/>
                  <w:vAlign w:val="center"/>
                </w:tcPr>
                <w:p w14:paraId="6A32A4E2">
                  <w:pP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四、生态环境</w:t>
                  </w:r>
                </w:p>
              </w:tc>
            </w:tr>
            <w:tr w14:paraId="026ABE1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tcBorders>
                    <w:tl2br w:val="nil"/>
                    <w:tr2bl w:val="nil"/>
                  </w:tcBorders>
                  <w:shd w:val="clear" w:color="auto" w:fill="auto"/>
                  <w:noWrap/>
                  <w:vAlign w:val="center"/>
                </w:tcPr>
                <w:p w14:paraId="53BCBD92">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生态</w:t>
                  </w:r>
                </w:p>
              </w:tc>
              <w:tc>
                <w:tcPr>
                  <w:tcW w:w="980" w:type="dxa"/>
                  <w:tcBorders>
                    <w:tl2br w:val="nil"/>
                    <w:tr2bl w:val="nil"/>
                  </w:tcBorders>
                  <w:shd w:val="clear" w:color="auto" w:fill="auto"/>
                  <w:noWrap/>
                  <w:vAlign w:val="center"/>
                </w:tcPr>
                <w:p w14:paraId="56BB469D">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工程周边林地、耕地及湿地生态系统</w:t>
                  </w:r>
                </w:p>
              </w:tc>
              <w:tc>
                <w:tcPr>
                  <w:tcW w:w="1576" w:type="dxa"/>
                  <w:tcBorders>
                    <w:tl2br w:val="nil"/>
                    <w:tr2bl w:val="nil"/>
                  </w:tcBorders>
                  <w:shd w:val="clear" w:color="auto" w:fill="auto"/>
                  <w:noWrap/>
                  <w:vAlign w:val="center"/>
                </w:tcPr>
                <w:p w14:paraId="30DC8563">
                  <w:pPr>
                    <w:keepNext w:val="0"/>
                    <w:keepLines w:val="0"/>
                    <w:widowControl/>
                    <w:suppressLineNumbers w:val="0"/>
                    <w:jc w:val="center"/>
                    <w:textAlignment w:val="center"/>
                    <w:rPr>
                      <w:rFonts w:hint="default" w:ascii="宋体" w:hAnsi="宋体" w:eastAsia="宋体" w:cs="宋体"/>
                      <w:i w:val="0"/>
                      <w:iCs w:val="0"/>
                      <w:color w:val="auto"/>
                      <w:sz w:val="22"/>
                      <w:szCs w:val="22"/>
                      <w:u w:val="none"/>
                      <w:lang w:val="en-US"/>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150130</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369289</w:t>
                  </w:r>
                </w:p>
              </w:tc>
              <w:tc>
                <w:tcPr>
                  <w:tcW w:w="1427" w:type="dxa"/>
                  <w:tcBorders>
                    <w:tl2br w:val="nil"/>
                    <w:tr2bl w:val="nil"/>
                  </w:tcBorders>
                  <w:shd w:val="clear" w:color="auto" w:fill="auto"/>
                  <w:noWrap/>
                  <w:vAlign w:val="center"/>
                </w:tcPr>
                <w:p w14:paraId="6CADAFD8">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临时占地3.0万m²</w:t>
                  </w:r>
                </w:p>
              </w:tc>
              <w:tc>
                <w:tcPr>
                  <w:tcW w:w="1383" w:type="dxa"/>
                  <w:tcBorders>
                    <w:tl2br w:val="nil"/>
                    <w:tr2bl w:val="nil"/>
                  </w:tcBorders>
                  <w:shd w:val="clear" w:color="auto" w:fill="auto"/>
                  <w:noWrap/>
                  <w:vAlign w:val="center"/>
                </w:tcPr>
                <w:p w14:paraId="5DB1DFE2">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施工区及临时占地范围</w:t>
                  </w:r>
                </w:p>
              </w:tc>
              <w:tc>
                <w:tcPr>
                  <w:tcW w:w="1717" w:type="dxa"/>
                  <w:tcBorders>
                    <w:tl2br w:val="nil"/>
                    <w:tr2bl w:val="nil"/>
                  </w:tcBorders>
                  <w:shd w:val="clear" w:color="auto" w:fill="auto"/>
                  <w:noWrap/>
                  <w:vAlign w:val="center"/>
                </w:tcPr>
                <w:p w14:paraId="6627DB75">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维持区域生态完整性和生物多样性，施工后恢复</w:t>
                  </w:r>
                </w:p>
              </w:tc>
            </w:tr>
            <w:tr w14:paraId="0A112E9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tblHeader/>
                <w:jc w:val="center"/>
              </w:trPr>
              <w:tc>
                <w:tcPr>
                  <w:tcW w:w="1137" w:type="dxa"/>
                  <w:tcBorders>
                    <w:tl2br w:val="nil"/>
                    <w:tr2bl w:val="nil"/>
                  </w:tcBorders>
                  <w:shd w:val="clear" w:color="auto" w:fill="auto"/>
                  <w:noWrap/>
                  <w:vAlign w:val="center"/>
                </w:tcPr>
                <w:p w14:paraId="77D0D29A">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生态</w:t>
                  </w:r>
                </w:p>
              </w:tc>
              <w:tc>
                <w:tcPr>
                  <w:tcW w:w="980" w:type="dxa"/>
                  <w:tcBorders>
                    <w:tl2br w:val="nil"/>
                    <w:tr2bl w:val="nil"/>
                  </w:tcBorders>
                  <w:shd w:val="clear" w:color="auto" w:fill="auto"/>
                  <w:noWrap/>
                  <w:vAlign w:val="center"/>
                </w:tcPr>
                <w:p w14:paraId="67BCED8D">
                  <w:pPr>
                    <w:keepNext w:val="0"/>
                    <w:keepLines w:val="0"/>
                    <w:widowControl/>
                    <w:suppressLineNumbers w:val="0"/>
                    <w:jc w:val="left"/>
                    <w:textAlignment w:val="center"/>
                    <w:rPr>
                      <w:rFonts w:hint="default" w:ascii="宋体" w:hAnsi="宋体" w:eastAsia="宋体" w:cs="宋体"/>
                      <w:i w:val="0"/>
                      <w:iCs w:val="0"/>
                      <w:color w:val="auto"/>
                      <w:sz w:val="22"/>
                      <w:szCs w:val="22"/>
                      <w:u w:val="none"/>
                      <w:lang w:val="en-US"/>
                    </w:rPr>
                  </w:pPr>
                  <w:r>
                    <w:rPr>
                      <w:rFonts w:hint="eastAsia" w:ascii="宋体" w:hAnsi="宋体" w:eastAsia="宋体" w:cs="宋体"/>
                      <w:i w:val="0"/>
                      <w:iCs w:val="0"/>
                      <w:color w:val="auto"/>
                      <w:kern w:val="0"/>
                      <w:sz w:val="22"/>
                      <w:szCs w:val="22"/>
                      <w:u w:val="none"/>
                      <w:lang w:val="en-US" w:eastAsia="zh-CN" w:bidi="ar"/>
                    </w:rPr>
                    <w:t>王家河</w:t>
                  </w:r>
                  <w:r>
                    <w:rPr>
                      <w:rFonts w:hint="eastAsia" w:ascii="宋体" w:hAnsi="宋体" w:cs="宋体"/>
                      <w:i w:val="0"/>
                      <w:iCs w:val="0"/>
                      <w:color w:val="auto"/>
                      <w:kern w:val="0"/>
                      <w:sz w:val="22"/>
                      <w:szCs w:val="22"/>
                      <w:u w:val="none"/>
                      <w:lang w:val="en-US" w:eastAsia="zh-CN" w:bidi="ar"/>
                    </w:rPr>
                    <w:t>湿地</w:t>
                  </w:r>
                </w:p>
              </w:tc>
              <w:tc>
                <w:tcPr>
                  <w:tcW w:w="1576" w:type="dxa"/>
                  <w:tcBorders>
                    <w:tl2br w:val="nil"/>
                    <w:tr2bl w:val="nil"/>
                  </w:tcBorders>
                  <w:shd w:val="clear" w:color="auto" w:fill="auto"/>
                  <w:noWrap/>
                  <w:vAlign w:val="center"/>
                </w:tcPr>
                <w:p w14:paraId="1B6A582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E113.</w:t>
                  </w:r>
                  <w:r>
                    <w:rPr>
                      <w:rFonts w:hint="eastAsia" w:ascii="宋体" w:hAnsi="宋体" w:cs="宋体"/>
                      <w:i w:val="0"/>
                      <w:iCs w:val="0"/>
                      <w:color w:val="auto"/>
                      <w:kern w:val="0"/>
                      <w:sz w:val="22"/>
                      <w:szCs w:val="22"/>
                      <w:u w:val="none"/>
                      <w:lang w:val="en-US" w:eastAsia="zh-CN" w:bidi="ar"/>
                    </w:rPr>
                    <w:t>150344</w:t>
                  </w:r>
                  <w:r>
                    <w:rPr>
                      <w:rFonts w:hint="eastAsia" w:ascii="宋体" w:hAnsi="宋体" w:eastAsia="宋体" w:cs="宋体"/>
                      <w:i w:val="0"/>
                      <w:iCs w:val="0"/>
                      <w:color w:val="auto"/>
                      <w:kern w:val="0"/>
                      <w:sz w:val="22"/>
                      <w:szCs w:val="22"/>
                      <w:u w:val="none"/>
                      <w:lang w:val="en-US" w:eastAsia="zh-CN" w:bidi="ar"/>
                    </w:rPr>
                    <w:t>,N29.</w:t>
                  </w:r>
                  <w:r>
                    <w:rPr>
                      <w:rFonts w:hint="eastAsia" w:ascii="宋体" w:hAnsi="宋体" w:cs="宋体"/>
                      <w:i w:val="0"/>
                      <w:iCs w:val="0"/>
                      <w:color w:val="auto"/>
                      <w:kern w:val="0"/>
                      <w:sz w:val="22"/>
                      <w:szCs w:val="22"/>
                      <w:u w:val="none"/>
                      <w:lang w:val="en-US" w:eastAsia="zh-CN" w:bidi="ar"/>
                    </w:rPr>
                    <w:t>379245；</w:t>
                  </w:r>
                </w:p>
              </w:tc>
              <w:tc>
                <w:tcPr>
                  <w:tcW w:w="1427" w:type="dxa"/>
                  <w:tcBorders>
                    <w:tl2br w:val="nil"/>
                    <w:tr2bl w:val="nil"/>
                  </w:tcBorders>
                  <w:shd w:val="clear" w:color="auto" w:fill="auto"/>
                  <w:noWrap/>
                  <w:vAlign w:val="center"/>
                </w:tcPr>
                <w:p w14:paraId="3CB179BA">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通知文号岳楼政办函〔2023〕40号</w:t>
                  </w:r>
                </w:p>
              </w:tc>
              <w:tc>
                <w:tcPr>
                  <w:tcW w:w="1383" w:type="dxa"/>
                  <w:tcBorders>
                    <w:tl2br w:val="nil"/>
                    <w:tr2bl w:val="nil"/>
                  </w:tcBorders>
                  <w:shd w:val="clear" w:color="auto" w:fill="auto"/>
                  <w:noWrap/>
                  <w:vAlign w:val="center"/>
                </w:tcPr>
                <w:p w14:paraId="6468DCBD">
                  <w:pPr>
                    <w:keepNext w:val="0"/>
                    <w:keepLines w:val="0"/>
                    <w:widowControl/>
                    <w:suppressLineNumbers w:val="0"/>
                    <w:jc w:val="left"/>
                    <w:textAlignment w:val="center"/>
                    <w:rPr>
                      <w:rFonts w:hint="default" w:ascii="宋体" w:hAnsi="宋体" w:eastAsia="宋体" w:cs="宋体"/>
                      <w:i w:val="0"/>
                      <w:iCs w:val="0"/>
                      <w:color w:val="auto"/>
                      <w:sz w:val="22"/>
                      <w:szCs w:val="22"/>
                      <w:u w:val="none"/>
                      <w:lang w:val="en-US"/>
                    </w:rPr>
                  </w:pPr>
                  <w:r>
                    <w:rPr>
                      <w:rFonts w:hint="eastAsia" w:ascii="宋体" w:hAnsi="宋体" w:cs="宋体"/>
                      <w:i w:val="0"/>
                      <w:iCs w:val="0"/>
                      <w:color w:val="auto"/>
                      <w:kern w:val="0"/>
                      <w:sz w:val="22"/>
                      <w:szCs w:val="22"/>
                      <w:u w:val="none"/>
                      <w:lang w:val="en-US" w:eastAsia="zh-CN" w:bidi="ar"/>
                    </w:rPr>
                    <w:t>水生态</w:t>
                  </w:r>
                </w:p>
              </w:tc>
              <w:tc>
                <w:tcPr>
                  <w:tcW w:w="1717" w:type="dxa"/>
                  <w:tcBorders>
                    <w:tl2br w:val="nil"/>
                    <w:tr2bl w:val="nil"/>
                  </w:tcBorders>
                  <w:shd w:val="clear" w:color="auto" w:fill="auto"/>
                  <w:noWrap/>
                  <w:vAlign w:val="center"/>
                </w:tcPr>
                <w:p w14:paraId="4D215EA1">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施工期严控范围，避免扰动</w:t>
                  </w:r>
                </w:p>
              </w:tc>
            </w:tr>
          </w:tbl>
          <w:p w14:paraId="798BD876">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default" w:ascii="宋体" w:hAnsi="宋体" w:eastAsia="宋体" w:cs="宋体"/>
                <w:color w:val="auto"/>
                <w:kern w:val="0"/>
                <w:szCs w:val="21"/>
                <w:lang w:val="en-US" w:eastAsia="zh-CN"/>
              </w:rPr>
            </w:pPr>
            <w:r>
              <w:rPr>
                <w:rFonts w:hint="eastAsia" w:ascii="宋体" w:hAnsi="宋体" w:cs="宋体"/>
                <w:b w:val="0"/>
                <w:bCs w:val="0"/>
                <w:color w:val="auto"/>
                <w:sz w:val="21"/>
                <w:szCs w:val="21"/>
                <w:lang w:val="en-US" w:eastAsia="zh-CN"/>
              </w:rPr>
              <w:t>注：项目实施点多位于老城区，敏感目标均含在以上划定范围内；工程实施时，若与设计位置等有调整，则以调整的实际位置为基准，在验收时核实其达标情况。</w:t>
            </w:r>
          </w:p>
        </w:tc>
      </w:tr>
      <w:tr w14:paraId="48A839B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15" w:type="dxa"/>
            <w:tcMar>
              <w:left w:w="28" w:type="dxa"/>
              <w:right w:w="28" w:type="dxa"/>
            </w:tcMar>
            <w:vAlign w:val="center"/>
          </w:tcPr>
          <w:p w14:paraId="227F4EC4">
            <w:pPr>
              <w:adjustRightInd w:val="0"/>
              <w:snapToGrid w:val="0"/>
              <w:jc w:val="center"/>
              <w:rPr>
                <w:rFonts w:hint="eastAsia" w:ascii="宋体" w:hAnsi="宋体" w:cs="宋体"/>
                <w:color w:val="auto"/>
                <w:kern w:val="0"/>
                <w:sz w:val="24"/>
                <w:szCs w:val="24"/>
              </w:rPr>
            </w:pPr>
            <w:r>
              <w:rPr>
                <w:rFonts w:hint="eastAsia" w:ascii="宋体" w:hAnsi="宋体" w:cs="宋体"/>
                <w:color w:val="auto"/>
                <w:kern w:val="0"/>
                <w:sz w:val="24"/>
                <w:szCs w:val="24"/>
                <w:lang w:eastAsia="zh-CN"/>
              </w:rPr>
              <w:t>评价</w:t>
            </w:r>
            <w:r>
              <w:rPr>
                <w:rFonts w:hint="eastAsia" w:ascii="宋体" w:hAnsi="宋体" w:cs="宋体"/>
                <w:color w:val="auto"/>
                <w:kern w:val="0"/>
                <w:sz w:val="24"/>
                <w:szCs w:val="24"/>
              </w:rPr>
              <w:t>标</w:t>
            </w:r>
          </w:p>
          <w:p w14:paraId="74113E94">
            <w:pPr>
              <w:adjustRightInd w:val="0"/>
              <w:snapToGrid w:val="0"/>
              <w:jc w:val="center"/>
              <w:rPr>
                <w:rFonts w:ascii="宋体" w:hAnsi="宋体" w:cs="宋体"/>
                <w:color w:val="auto"/>
                <w:kern w:val="0"/>
                <w:sz w:val="24"/>
                <w:szCs w:val="24"/>
              </w:rPr>
            </w:pPr>
            <w:r>
              <w:rPr>
                <w:rFonts w:hint="eastAsia" w:ascii="宋体" w:hAnsi="宋体" w:cs="宋体"/>
                <w:color w:val="auto"/>
                <w:kern w:val="0"/>
                <w:sz w:val="24"/>
                <w:szCs w:val="24"/>
              </w:rPr>
              <w:t>准</w:t>
            </w:r>
          </w:p>
        </w:tc>
        <w:tc>
          <w:tcPr>
            <w:tcW w:w="8475" w:type="dxa"/>
            <w:vAlign w:val="center"/>
          </w:tcPr>
          <w:p w14:paraId="4E09C8FB">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eastAsia="宋体"/>
                <w:b/>
                <w:bCs/>
                <w:color w:val="auto"/>
                <w:sz w:val="24"/>
                <w:szCs w:val="24"/>
                <w:lang w:val="en-US" w:eastAsia="zh-CN"/>
              </w:rPr>
            </w:pPr>
            <w:r>
              <w:rPr>
                <w:rFonts w:hint="eastAsia"/>
                <w:b/>
                <w:bCs/>
                <w:color w:val="auto"/>
                <w:sz w:val="24"/>
                <w:szCs w:val="24"/>
                <w:lang w:val="en-US" w:eastAsia="zh-CN"/>
              </w:rPr>
              <w:t>1、质量标准</w:t>
            </w:r>
          </w:p>
          <w:p w14:paraId="1422699D">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b/>
                <w:bCs/>
                <w:color w:val="auto"/>
                <w:sz w:val="24"/>
                <w:szCs w:val="24"/>
              </w:rPr>
            </w:pPr>
            <w:r>
              <w:rPr>
                <w:b/>
                <w:bCs/>
                <w:color w:val="auto"/>
                <w:sz w:val="24"/>
                <w:szCs w:val="24"/>
              </w:rPr>
              <w:t>（1）</w:t>
            </w:r>
            <w:r>
              <w:rPr>
                <w:rFonts w:hint="eastAsia"/>
                <w:b/>
                <w:bCs/>
                <w:color w:val="auto"/>
                <w:sz w:val="24"/>
                <w:szCs w:val="24"/>
              </w:rPr>
              <w:t>环境空气质量标准</w:t>
            </w:r>
          </w:p>
          <w:p w14:paraId="2ED87716">
            <w:pPr>
              <w:keepNext w:val="0"/>
              <w:keepLines w:val="0"/>
              <w:pageBreakBefore w:val="0"/>
              <w:widowControl w:val="0"/>
              <w:kinsoku/>
              <w:wordWrap w:val="0"/>
              <w:overflowPunct/>
              <w:topLinePunct w:val="0"/>
              <w:autoSpaceDE/>
              <w:autoSpaceDN/>
              <w:bidi w:val="0"/>
              <w:adjustRightInd/>
              <w:snapToGrid/>
              <w:spacing w:line="360" w:lineRule="auto"/>
              <w:ind w:firstLine="480" w:firstLineChars="200"/>
              <w:jc w:val="left"/>
              <w:textAlignment w:val="auto"/>
              <w:rPr>
                <w:rFonts w:hint="eastAsia"/>
                <w:b w:val="0"/>
                <w:bCs w:val="0"/>
                <w:color w:val="auto"/>
                <w:sz w:val="24"/>
                <w:szCs w:val="24"/>
              </w:rPr>
            </w:pPr>
            <w:r>
              <w:rPr>
                <w:rFonts w:hint="eastAsia"/>
                <w:b w:val="0"/>
                <w:bCs w:val="0"/>
                <w:color w:val="auto"/>
                <w:sz w:val="24"/>
                <w:szCs w:val="24"/>
              </w:rPr>
              <w:t>项目所在区域属于二类区，执行《环境空气质量标准》（GB3095-20</w:t>
            </w:r>
            <w:r>
              <w:rPr>
                <w:rFonts w:hint="eastAsia"/>
                <w:b w:val="0"/>
                <w:bCs w:val="0"/>
                <w:color w:val="auto"/>
                <w:sz w:val="24"/>
                <w:szCs w:val="24"/>
                <w:lang w:val="en-US" w:eastAsia="zh-CN"/>
              </w:rPr>
              <w:t>26</w:t>
            </w:r>
            <w:r>
              <w:rPr>
                <w:rFonts w:hint="eastAsia"/>
                <w:b w:val="0"/>
                <w:bCs w:val="0"/>
                <w:color w:val="auto"/>
                <w:sz w:val="24"/>
                <w:szCs w:val="24"/>
              </w:rPr>
              <w:t>）中</w:t>
            </w:r>
            <w:r>
              <w:rPr>
                <w:rFonts w:hint="eastAsia"/>
                <w:b w:val="0"/>
                <w:bCs w:val="0"/>
                <w:color w:val="auto"/>
                <w:sz w:val="24"/>
                <w:szCs w:val="24"/>
                <w:lang w:eastAsia="zh-CN"/>
              </w:rPr>
              <w:t>过渡阶段</w:t>
            </w:r>
            <w:r>
              <w:rPr>
                <w:rFonts w:hint="eastAsia"/>
                <w:b w:val="0"/>
                <w:bCs w:val="0"/>
                <w:color w:val="auto"/>
                <w:sz w:val="24"/>
                <w:szCs w:val="24"/>
              </w:rPr>
              <w:t>二类</w:t>
            </w:r>
            <w:r>
              <w:rPr>
                <w:rFonts w:hint="eastAsia"/>
                <w:b w:val="0"/>
                <w:bCs w:val="0"/>
                <w:color w:val="auto"/>
                <w:sz w:val="24"/>
                <w:szCs w:val="24"/>
                <w:lang w:eastAsia="zh-CN"/>
              </w:rPr>
              <w:t>浓度限值</w:t>
            </w:r>
            <w:r>
              <w:rPr>
                <w:rFonts w:hint="eastAsia"/>
                <w:b w:val="0"/>
                <w:bCs w:val="0"/>
                <w:color w:val="auto"/>
                <w:sz w:val="24"/>
                <w:szCs w:val="24"/>
              </w:rPr>
              <w:t>标准。</w:t>
            </w:r>
          </w:p>
          <w:p w14:paraId="795CB717">
            <w:pPr>
              <w:keepNext w:val="0"/>
              <w:keepLines w:val="0"/>
              <w:pageBreakBefore w:val="0"/>
              <w:widowControl w:val="0"/>
              <w:kinsoku/>
              <w:wordWrap/>
              <w:overflowPunct/>
              <w:topLinePunct w:val="0"/>
              <w:autoSpaceDE/>
              <w:autoSpaceDN/>
              <w:bidi w:val="0"/>
              <w:adjustRightInd/>
              <w:snapToGrid/>
              <w:spacing w:line="360" w:lineRule="auto"/>
              <w:ind w:firstLine="498" w:firstLineChars="200"/>
              <w:textAlignment w:val="auto"/>
              <w:rPr>
                <w:rFonts w:hint="default" w:ascii="Times New Roman" w:hAnsi="Times New Roman" w:eastAsia="宋体" w:cs="Times New Roman"/>
                <w:b/>
                <w:bCs/>
                <w:color w:val="auto"/>
                <w:spacing w:val="4"/>
                <w:sz w:val="24"/>
                <w:szCs w:val="24"/>
                <w:lang w:eastAsia="zh-CN"/>
              </w:rPr>
            </w:pPr>
            <w:r>
              <w:rPr>
                <w:rFonts w:hint="default" w:ascii="Times New Roman" w:hAnsi="Times New Roman" w:cs="Times New Roman"/>
                <w:b/>
                <w:bCs/>
                <w:color w:val="auto"/>
                <w:spacing w:val="4"/>
                <w:sz w:val="24"/>
                <w:szCs w:val="24"/>
              </w:rPr>
              <w:t>（2）</w:t>
            </w:r>
            <w:r>
              <w:rPr>
                <w:rFonts w:hint="eastAsia" w:cs="Times New Roman"/>
                <w:b/>
                <w:bCs/>
                <w:color w:val="auto"/>
                <w:spacing w:val="4"/>
                <w:sz w:val="24"/>
                <w:szCs w:val="24"/>
                <w:lang w:eastAsia="zh-CN"/>
              </w:rPr>
              <w:t>地表水环境质量</w:t>
            </w:r>
            <w:r>
              <w:rPr>
                <w:rFonts w:hint="default" w:ascii="Times New Roman" w:hAnsi="Times New Roman" w:cs="Times New Roman"/>
                <w:b/>
                <w:bCs/>
                <w:color w:val="auto"/>
                <w:spacing w:val="4"/>
                <w:sz w:val="24"/>
                <w:szCs w:val="24"/>
                <w:lang w:eastAsia="zh-CN"/>
              </w:rPr>
              <w:t>标准</w:t>
            </w:r>
          </w:p>
          <w:p w14:paraId="77F7E974">
            <w:pPr>
              <w:keepNext w:val="0"/>
              <w:keepLines w:val="0"/>
              <w:pageBreakBefore w:val="0"/>
              <w:widowControl w:val="0"/>
              <w:kinsoku/>
              <w:wordWrap w:val="0"/>
              <w:overflowPunct/>
              <w:topLinePunct w:val="0"/>
              <w:autoSpaceDE/>
              <w:autoSpaceDN/>
              <w:bidi w:val="0"/>
              <w:adjustRightInd w:val="0"/>
              <w:snapToGrid w:val="0"/>
              <w:spacing w:line="360" w:lineRule="auto"/>
              <w:ind w:firstLine="480" w:firstLineChars="200"/>
              <w:textAlignment w:val="auto"/>
              <w:rPr>
                <w:rFonts w:hint="default" w:ascii="宋体" w:hAnsi="宋体" w:eastAsia="宋体" w:cs="宋体"/>
                <w:b w:val="0"/>
                <w:bCs w:val="0"/>
                <w:color w:val="auto"/>
                <w:sz w:val="24"/>
                <w:szCs w:val="24"/>
                <w:lang w:eastAsia="zh-CN"/>
              </w:rPr>
            </w:pPr>
            <w:r>
              <w:rPr>
                <w:rFonts w:hint="default" w:ascii="宋体" w:hAnsi="宋体" w:eastAsia="宋体" w:cs="宋体"/>
                <w:b w:val="0"/>
                <w:bCs w:val="0"/>
                <w:color w:val="auto"/>
                <w:sz w:val="24"/>
                <w:szCs w:val="24"/>
                <w:lang w:eastAsia="zh-CN"/>
              </w:rPr>
              <w:t>项目所在区域地表水（河流）水质执行《地表水环境质量标准》（GB3838-2002）中</w:t>
            </w:r>
            <w:r>
              <w:rPr>
                <w:rFonts w:hint="default" w:ascii="Times New Roman" w:hAnsi="Times New Roman" w:eastAsia="宋体" w:cs="Times New Roman"/>
                <w:b w:val="0"/>
                <w:bCs w:val="0"/>
                <w:color w:val="auto"/>
                <w:sz w:val="24"/>
                <w:szCs w:val="24"/>
                <w:lang w:eastAsia="zh-CN"/>
              </w:rPr>
              <w:t>Ⅲ</w:t>
            </w:r>
            <w:r>
              <w:rPr>
                <w:rFonts w:hint="default" w:ascii="宋体" w:hAnsi="宋体" w:eastAsia="宋体" w:cs="宋体"/>
                <w:b w:val="0"/>
                <w:bCs w:val="0"/>
                <w:color w:val="auto"/>
                <w:sz w:val="24"/>
                <w:szCs w:val="24"/>
                <w:lang w:eastAsia="zh-CN"/>
              </w:rPr>
              <w:t>类水</w:t>
            </w:r>
            <w:r>
              <w:rPr>
                <w:rFonts w:hint="eastAsia" w:ascii="宋体" w:hAnsi="宋体" w:cs="宋体"/>
                <w:b w:val="0"/>
                <w:bCs w:val="0"/>
                <w:color w:val="auto"/>
                <w:sz w:val="24"/>
                <w:szCs w:val="24"/>
                <w:lang w:val="en-US" w:eastAsia="zh-CN"/>
              </w:rPr>
              <w:t>质</w:t>
            </w:r>
            <w:r>
              <w:rPr>
                <w:rFonts w:hint="default" w:ascii="宋体" w:hAnsi="宋体" w:eastAsia="宋体" w:cs="宋体"/>
                <w:b w:val="0"/>
                <w:bCs w:val="0"/>
                <w:color w:val="auto"/>
                <w:sz w:val="24"/>
                <w:szCs w:val="24"/>
                <w:lang w:eastAsia="zh-CN"/>
              </w:rPr>
              <w:t>标准。</w:t>
            </w:r>
          </w:p>
          <w:p w14:paraId="32A1133E">
            <w:pPr>
              <w:keepNext w:val="0"/>
              <w:keepLines w:val="0"/>
              <w:pageBreakBefore w:val="0"/>
              <w:widowControl w:val="0"/>
              <w:kinsoku/>
              <w:wordWrap/>
              <w:overflowPunct/>
              <w:topLinePunct w:val="0"/>
              <w:autoSpaceDE/>
              <w:autoSpaceDN/>
              <w:bidi w:val="0"/>
              <w:adjustRightInd/>
              <w:snapToGrid/>
              <w:spacing w:line="360" w:lineRule="auto"/>
              <w:ind w:firstLine="498" w:firstLineChars="200"/>
              <w:textAlignment w:val="auto"/>
              <w:rPr>
                <w:b/>
                <w:bCs/>
                <w:color w:val="auto"/>
                <w:spacing w:val="4"/>
                <w:sz w:val="24"/>
                <w:szCs w:val="24"/>
              </w:rPr>
            </w:pPr>
            <w:r>
              <w:rPr>
                <w:b/>
                <w:bCs/>
                <w:color w:val="auto"/>
                <w:spacing w:val="4"/>
                <w:sz w:val="24"/>
                <w:szCs w:val="24"/>
              </w:rPr>
              <w:t>（</w:t>
            </w:r>
            <w:r>
              <w:rPr>
                <w:rFonts w:hint="eastAsia"/>
                <w:b/>
                <w:bCs/>
                <w:color w:val="auto"/>
                <w:spacing w:val="4"/>
                <w:sz w:val="24"/>
                <w:szCs w:val="24"/>
                <w:lang w:val="en-US" w:eastAsia="zh-CN"/>
              </w:rPr>
              <w:t>3</w:t>
            </w:r>
            <w:r>
              <w:rPr>
                <w:b/>
                <w:bCs/>
                <w:color w:val="auto"/>
                <w:spacing w:val="4"/>
                <w:sz w:val="24"/>
                <w:szCs w:val="24"/>
              </w:rPr>
              <w:t>）</w:t>
            </w:r>
            <w:r>
              <w:rPr>
                <w:rFonts w:hint="eastAsia"/>
                <w:b/>
                <w:bCs/>
                <w:color w:val="auto"/>
                <w:spacing w:val="4"/>
                <w:sz w:val="24"/>
                <w:szCs w:val="24"/>
              </w:rPr>
              <w:t>声环境质量标准</w:t>
            </w:r>
          </w:p>
          <w:p w14:paraId="0FA5642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color w:val="auto"/>
                <w:sz w:val="24"/>
                <w:szCs w:val="24"/>
                <w:lang w:val="en-US" w:eastAsia="zh-CN"/>
              </w:rPr>
            </w:pPr>
            <w:r>
              <w:rPr>
                <w:rFonts w:hint="eastAsia" w:ascii="宋体" w:hAnsi="宋体" w:eastAsia="宋体" w:cs="宋体"/>
                <w:b w:val="0"/>
                <w:bCs w:val="0"/>
                <w:color w:val="auto"/>
                <w:sz w:val="24"/>
                <w:szCs w:val="24"/>
                <w:lang w:eastAsia="zh-CN"/>
              </w:rPr>
              <w:t>项目所在区域</w:t>
            </w:r>
            <w:r>
              <w:rPr>
                <w:rFonts w:hint="eastAsia" w:ascii="宋体" w:hAnsi="宋体" w:cs="宋体"/>
                <w:b w:val="0"/>
                <w:bCs w:val="0"/>
                <w:color w:val="auto"/>
                <w:sz w:val="24"/>
                <w:szCs w:val="24"/>
                <w:lang w:eastAsia="zh-CN"/>
              </w:rPr>
              <w:t>居民点</w:t>
            </w:r>
            <w:r>
              <w:rPr>
                <w:rFonts w:hint="eastAsia" w:ascii="宋体" w:hAnsi="宋体" w:eastAsia="宋体" w:cs="宋体"/>
                <w:b w:val="0"/>
                <w:bCs w:val="0"/>
                <w:color w:val="auto"/>
                <w:sz w:val="24"/>
                <w:szCs w:val="24"/>
                <w:lang w:eastAsia="zh-CN"/>
              </w:rPr>
              <w:t>执行《声环境质量标准》（GB3096-2008）中</w:t>
            </w:r>
            <w:r>
              <w:rPr>
                <w:rFonts w:hint="eastAsia" w:ascii="宋体" w:hAnsi="宋体" w:cs="宋体"/>
                <w:b w:val="0"/>
                <w:bCs w:val="0"/>
                <w:color w:val="auto"/>
                <w:sz w:val="24"/>
                <w:szCs w:val="24"/>
                <w:lang w:val="en-US" w:eastAsia="zh-CN"/>
              </w:rPr>
              <w:t>2</w:t>
            </w:r>
            <w:r>
              <w:rPr>
                <w:rFonts w:hint="eastAsia" w:ascii="宋体" w:hAnsi="宋体" w:eastAsia="宋体" w:cs="宋体"/>
                <w:b w:val="0"/>
                <w:bCs w:val="0"/>
                <w:color w:val="auto"/>
                <w:sz w:val="24"/>
                <w:szCs w:val="24"/>
                <w:lang w:eastAsia="zh-CN"/>
              </w:rPr>
              <w:t>标准</w:t>
            </w:r>
            <w:r>
              <w:rPr>
                <w:rFonts w:hint="eastAsia" w:ascii="宋体" w:hAnsi="宋体" w:cs="宋体"/>
                <w:b w:val="0"/>
                <w:bCs w:val="0"/>
                <w:color w:val="auto"/>
                <w:sz w:val="24"/>
                <w:szCs w:val="24"/>
                <w:lang w:eastAsia="zh-CN"/>
              </w:rPr>
              <w:t>，道路两侧一定范围内</w:t>
            </w:r>
            <w:r>
              <w:rPr>
                <w:rFonts w:hint="eastAsia" w:ascii="宋体" w:hAnsi="宋体" w:cs="宋体"/>
                <w:b w:val="0"/>
                <w:bCs w:val="0"/>
                <w:color w:val="auto"/>
                <w:sz w:val="24"/>
                <w:szCs w:val="24"/>
                <w:lang w:val="en-US" w:eastAsia="zh-CN"/>
              </w:rPr>
              <w:t>4a</w:t>
            </w:r>
            <w:r>
              <w:rPr>
                <w:rFonts w:hint="eastAsia" w:ascii="宋体" w:hAnsi="宋体" w:eastAsia="宋体" w:cs="宋体"/>
                <w:b w:val="0"/>
                <w:bCs w:val="0"/>
                <w:color w:val="auto"/>
                <w:sz w:val="24"/>
                <w:szCs w:val="24"/>
                <w:lang w:eastAsia="zh-CN"/>
              </w:rPr>
              <w:t>标准</w:t>
            </w:r>
            <w:r>
              <w:rPr>
                <w:rFonts w:hint="eastAsia"/>
                <w:color w:val="auto"/>
                <w:sz w:val="24"/>
                <w:szCs w:val="24"/>
                <w:lang w:val="en-US" w:eastAsia="zh-CN"/>
              </w:rPr>
              <w:t>，见表3.5。</w:t>
            </w:r>
          </w:p>
          <w:p w14:paraId="78639F1C">
            <w:pPr>
              <w:pStyle w:val="19"/>
              <w:bidi w:val="0"/>
              <w:rPr>
                <w:rFonts w:hint="eastAsia"/>
                <w:color w:val="auto"/>
                <w:lang w:val="en-US" w:eastAsia="zh-CN"/>
              </w:rPr>
            </w:pPr>
            <w:r>
              <w:rPr>
                <w:rFonts w:hint="eastAsia"/>
                <w:color w:val="auto"/>
                <w:lang w:val="en-US" w:eastAsia="zh-CN"/>
              </w:rPr>
              <w:t>表 3.15</w:t>
            </w:r>
            <w:r>
              <w:rPr>
                <w:rFonts w:hint="eastAsia"/>
                <w:color w:val="auto"/>
                <w:lang w:val="en-US" w:eastAsia="zh-CN"/>
              </w:rPr>
              <w:tab/>
            </w:r>
            <w:r>
              <w:rPr>
                <w:rFonts w:hint="eastAsia"/>
                <w:color w:val="auto"/>
                <w:lang w:val="en-US" w:eastAsia="zh-CN"/>
              </w:rPr>
              <w:t>声环境质量评价标准一览表</w:t>
            </w:r>
          </w:p>
          <w:tbl>
            <w:tblPr>
              <w:tblStyle w:val="9"/>
              <w:tblW w:w="8220"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2060"/>
              <w:gridCol w:w="2297"/>
              <w:gridCol w:w="1934"/>
              <w:gridCol w:w="1929"/>
            </w:tblGrid>
            <w:tr w14:paraId="3159FE6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83" w:hRule="exact"/>
                <w:jc w:val="center"/>
              </w:trPr>
              <w:tc>
                <w:tcPr>
                  <w:tcW w:w="2132" w:type="dxa"/>
                  <w:vMerge w:val="restart"/>
                  <w:tcBorders>
                    <w:tl2br w:val="nil"/>
                    <w:tr2bl w:val="nil"/>
                  </w:tcBorders>
                  <w:noWrap w:val="0"/>
                  <w:vAlign w:val="center"/>
                </w:tcPr>
                <w:p w14:paraId="1BC38330">
                  <w:pPr>
                    <w:pStyle w:val="17"/>
                    <w:bidi w:val="0"/>
                    <w:jc w:val="center"/>
                    <w:rPr>
                      <w:rFonts w:hint="default"/>
                      <w:color w:val="auto"/>
                    </w:rPr>
                  </w:pPr>
                  <w:r>
                    <w:rPr>
                      <w:rFonts w:hint="default"/>
                      <w:color w:val="auto"/>
                    </w:rPr>
                    <w:t>序号</w:t>
                  </w:r>
                </w:p>
              </w:tc>
              <w:tc>
                <w:tcPr>
                  <w:tcW w:w="2377" w:type="dxa"/>
                  <w:vMerge w:val="restart"/>
                  <w:tcBorders>
                    <w:tl2br w:val="nil"/>
                    <w:tr2bl w:val="nil"/>
                  </w:tcBorders>
                  <w:noWrap w:val="0"/>
                  <w:vAlign w:val="center"/>
                </w:tcPr>
                <w:p w14:paraId="40EE975D">
                  <w:pPr>
                    <w:pStyle w:val="17"/>
                    <w:bidi w:val="0"/>
                    <w:jc w:val="center"/>
                    <w:rPr>
                      <w:rFonts w:hint="default"/>
                      <w:color w:val="auto"/>
                    </w:rPr>
                  </w:pPr>
                  <w:r>
                    <w:rPr>
                      <w:rFonts w:hint="default"/>
                      <w:color w:val="auto"/>
                    </w:rPr>
                    <w:t>单位</w:t>
                  </w:r>
                </w:p>
              </w:tc>
              <w:tc>
                <w:tcPr>
                  <w:tcW w:w="3995" w:type="dxa"/>
                  <w:gridSpan w:val="2"/>
                  <w:tcBorders>
                    <w:tl2br w:val="nil"/>
                    <w:tr2bl w:val="nil"/>
                  </w:tcBorders>
                  <w:noWrap w:val="0"/>
                  <w:vAlign w:val="center"/>
                </w:tcPr>
                <w:p w14:paraId="33B410D9">
                  <w:pPr>
                    <w:pStyle w:val="17"/>
                    <w:bidi w:val="0"/>
                    <w:jc w:val="center"/>
                    <w:rPr>
                      <w:rFonts w:hint="default"/>
                      <w:color w:val="auto"/>
                    </w:rPr>
                  </w:pPr>
                  <w:r>
                    <w:rPr>
                      <w:rFonts w:hint="default"/>
                      <w:color w:val="auto"/>
                    </w:rPr>
                    <w:t>时段</w:t>
                  </w:r>
                </w:p>
              </w:tc>
            </w:tr>
            <w:tr w14:paraId="237C744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81" w:hRule="exact"/>
                <w:jc w:val="center"/>
              </w:trPr>
              <w:tc>
                <w:tcPr>
                  <w:tcW w:w="2132" w:type="dxa"/>
                  <w:vMerge w:val="continue"/>
                  <w:tcBorders>
                    <w:tl2br w:val="nil"/>
                    <w:tr2bl w:val="nil"/>
                  </w:tcBorders>
                  <w:noWrap w:val="0"/>
                  <w:vAlign w:val="center"/>
                </w:tcPr>
                <w:p w14:paraId="05B81BA7">
                  <w:pPr>
                    <w:pStyle w:val="17"/>
                    <w:bidi w:val="0"/>
                    <w:jc w:val="center"/>
                    <w:rPr>
                      <w:rFonts w:hint="default"/>
                      <w:color w:val="auto"/>
                    </w:rPr>
                  </w:pPr>
                </w:p>
              </w:tc>
              <w:tc>
                <w:tcPr>
                  <w:tcW w:w="2377" w:type="dxa"/>
                  <w:vMerge w:val="continue"/>
                  <w:tcBorders>
                    <w:tl2br w:val="nil"/>
                    <w:tr2bl w:val="nil"/>
                  </w:tcBorders>
                  <w:noWrap w:val="0"/>
                  <w:vAlign w:val="center"/>
                </w:tcPr>
                <w:p w14:paraId="4C79F6E4">
                  <w:pPr>
                    <w:pStyle w:val="17"/>
                    <w:bidi w:val="0"/>
                    <w:jc w:val="center"/>
                    <w:rPr>
                      <w:rFonts w:hint="default"/>
                      <w:color w:val="auto"/>
                    </w:rPr>
                  </w:pPr>
                </w:p>
              </w:tc>
              <w:tc>
                <w:tcPr>
                  <w:tcW w:w="2000" w:type="dxa"/>
                  <w:tcBorders>
                    <w:tl2br w:val="nil"/>
                    <w:tr2bl w:val="nil"/>
                  </w:tcBorders>
                  <w:noWrap w:val="0"/>
                  <w:vAlign w:val="center"/>
                </w:tcPr>
                <w:p w14:paraId="436881F1">
                  <w:pPr>
                    <w:pStyle w:val="17"/>
                    <w:bidi w:val="0"/>
                    <w:jc w:val="center"/>
                    <w:rPr>
                      <w:rFonts w:hint="default"/>
                      <w:color w:val="auto"/>
                    </w:rPr>
                  </w:pPr>
                  <w:r>
                    <w:rPr>
                      <w:rFonts w:hint="default"/>
                      <w:color w:val="auto"/>
                    </w:rPr>
                    <w:t>昼间</w:t>
                  </w:r>
                </w:p>
              </w:tc>
              <w:tc>
                <w:tcPr>
                  <w:tcW w:w="1995" w:type="dxa"/>
                  <w:tcBorders>
                    <w:tl2br w:val="nil"/>
                    <w:tr2bl w:val="nil"/>
                  </w:tcBorders>
                  <w:noWrap w:val="0"/>
                  <w:vAlign w:val="center"/>
                </w:tcPr>
                <w:p w14:paraId="106360B7">
                  <w:pPr>
                    <w:pStyle w:val="17"/>
                    <w:bidi w:val="0"/>
                    <w:jc w:val="center"/>
                    <w:rPr>
                      <w:rFonts w:hint="default"/>
                      <w:color w:val="auto"/>
                    </w:rPr>
                  </w:pPr>
                  <w:r>
                    <w:rPr>
                      <w:rFonts w:hint="default"/>
                      <w:color w:val="auto"/>
                    </w:rPr>
                    <w:t>夜间</w:t>
                  </w:r>
                </w:p>
              </w:tc>
            </w:tr>
            <w:tr w14:paraId="1EC0244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83" w:hRule="exact"/>
                <w:jc w:val="center"/>
              </w:trPr>
              <w:tc>
                <w:tcPr>
                  <w:tcW w:w="2132" w:type="dxa"/>
                  <w:tcBorders>
                    <w:tl2br w:val="nil"/>
                    <w:tr2bl w:val="nil"/>
                  </w:tcBorders>
                  <w:noWrap w:val="0"/>
                  <w:vAlign w:val="center"/>
                </w:tcPr>
                <w:p w14:paraId="7BAA983F">
                  <w:pPr>
                    <w:pStyle w:val="17"/>
                    <w:bidi w:val="0"/>
                    <w:jc w:val="center"/>
                    <w:rPr>
                      <w:rFonts w:hint="default"/>
                      <w:color w:val="auto"/>
                      <w:lang w:val="en-US" w:eastAsia="zh-CN"/>
                    </w:rPr>
                  </w:pPr>
                  <w:r>
                    <w:rPr>
                      <w:rFonts w:hint="eastAsia"/>
                      <w:color w:val="auto"/>
                      <w:lang w:val="en-US" w:eastAsia="zh-CN"/>
                    </w:rPr>
                    <w:t>4a</w:t>
                  </w:r>
                  <w:r>
                    <w:rPr>
                      <w:rFonts w:hint="default"/>
                      <w:color w:val="auto"/>
                    </w:rPr>
                    <w:t>类</w:t>
                  </w:r>
                </w:p>
              </w:tc>
              <w:tc>
                <w:tcPr>
                  <w:tcW w:w="2377" w:type="dxa"/>
                  <w:tcBorders>
                    <w:tl2br w:val="nil"/>
                    <w:tr2bl w:val="nil"/>
                  </w:tcBorders>
                  <w:noWrap w:val="0"/>
                  <w:vAlign w:val="center"/>
                </w:tcPr>
                <w:p w14:paraId="1AE7FDF8">
                  <w:pPr>
                    <w:pStyle w:val="17"/>
                    <w:bidi w:val="0"/>
                    <w:jc w:val="center"/>
                    <w:rPr>
                      <w:rFonts w:hint="default"/>
                      <w:color w:val="auto"/>
                      <w:kern w:val="2"/>
                      <w:sz w:val="21"/>
                      <w:szCs w:val="24"/>
                      <w:lang w:val="en-US" w:eastAsia="zh-CN" w:bidi="ar-SA"/>
                    </w:rPr>
                  </w:pPr>
                  <w:r>
                    <w:rPr>
                      <w:rFonts w:hint="default"/>
                      <w:color w:val="auto"/>
                    </w:rPr>
                    <w:t>dB(A)</w:t>
                  </w:r>
                </w:p>
              </w:tc>
              <w:tc>
                <w:tcPr>
                  <w:tcW w:w="2000" w:type="dxa"/>
                  <w:tcBorders>
                    <w:tl2br w:val="nil"/>
                    <w:tr2bl w:val="nil"/>
                  </w:tcBorders>
                  <w:noWrap w:val="0"/>
                  <w:vAlign w:val="center"/>
                </w:tcPr>
                <w:p w14:paraId="245DD1AD">
                  <w:pPr>
                    <w:pStyle w:val="17"/>
                    <w:bidi w:val="0"/>
                    <w:jc w:val="center"/>
                    <w:rPr>
                      <w:rFonts w:hint="default" w:eastAsia="宋体"/>
                      <w:color w:val="auto"/>
                      <w:kern w:val="2"/>
                      <w:sz w:val="21"/>
                      <w:szCs w:val="24"/>
                      <w:lang w:val="en-US" w:eastAsia="zh-CN" w:bidi="ar-SA"/>
                    </w:rPr>
                  </w:pPr>
                  <w:r>
                    <w:rPr>
                      <w:rFonts w:hint="eastAsia"/>
                      <w:color w:val="auto"/>
                      <w:lang w:val="en-US" w:eastAsia="zh-CN"/>
                    </w:rPr>
                    <w:t>70</w:t>
                  </w:r>
                </w:p>
              </w:tc>
              <w:tc>
                <w:tcPr>
                  <w:tcW w:w="1995" w:type="dxa"/>
                  <w:tcBorders>
                    <w:tl2br w:val="nil"/>
                    <w:tr2bl w:val="nil"/>
                  </w:tcBorders>
                  <w:noWrap w:val="0"/>
                  <w:vAlign w:val="center"/>
                </w:tcPr>
                <w:p w14:paraId="06391AA3">
                  <w:pPr>
                    <w:pStyle w:val="17"/>
                    <w:bidi w:val="0"/>
                    <w:jc w:val="center"/>
                    <w:rPr>
                      <w:rFonts w:hint="default" w:eastAsia="宋体"/>
                      <w:color w:val="auto"/>
                      <w:kern w:val="2"/>
                      <w:sz w:val="21"/>
                      <w:szCs w:val="24"/>
                      <w:lang w:val="en-US" w:eastAsia="zh-CN" w:bidi="ar-SA"/>
                    </w:rPr>
                  </w:pPr>
                  <w:r>
                    <w:rPr>
                      <w:rFonts w:hint="eastAsia"/>
                      <w:color w:val="auto"/>
                      <w:lang w:val="en-US" w:eastAsia="zh-CN"/>
                    </w:rPr>
                    <w:t>60</w:t>
                  </w:r>
                </w:p>
              </w:tc>
            </w:tr>
            <w:tr w14:paraId="52E4416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83" w:hRule="exact"/>
                <w:jc w:val="center"/>
              </w:trPr>
              <w:tc>
                <w:tcPr>
                  <w:tcW w:w="2132" w:type="dxa"/>
                  <w:tcBorders>
                    <w:tl2br w:val="nil"/>
                    <w:tr2bl w:val="nil"/>
                  </w:tcBorders>
                  <w:noWrap w:val="0"/>
                  <w:vAlign w:val="center"/>
                </w:tcPr>
                <w:p w14:paraId="30F16A03">
                  <w:pPr>
                    <w:pStyle w:val="17"/>
                    <w:bidi w:val="0"/>
                    <w:jc w:val="center"/>
                    <w:rPr>
                      <w:rFonts w:hint="eastAsia"/>
                      <w:color w:val="auto"/>
                      <w:lang w:val="en-US" w:eastAsia="zh-CN"/>
                    </w:rPr>
                  </w:pPr>
                  <w:r>
                    <w:rPr>
                      <w:rFonts w:hint="eastAsia"/>
                      <w:color w:val="auto"/>
                      <w:lang w:val="en-US" w:eastAsia="zh-CN"/>
                    </w:rPr>
                    <w:t>2类</w:t>
                  </w:r>
                </w:p>
              </w:tc>
              <w:tc>
                <w:tcPr>
                  <w:tcW w:w="2377" w:type="dxa"/>
                  <w:tcBorders>
                    <w:tl2br w:val="nil"/>
                    <w:tr2bl w:val="nil"/>
                  </w:tcBorders>
                  <w:noWrap w:val="0"/>
                  <w:vAlign w:val="center"/>
                </w:tcPr>
                <w:p w14:paraId="265B115C">
                  <w:pPr>
                    <w:pStyle w:val="17"/>
                    <w:bidi w:val="0"/>
                    <w:jc w:val="center"/>
                    <w:rPr>
                      <w:rFonts w:hint="default"/>
                      <w:color w:val="auto"/>
                    </w:rPr>
                  </w:pPr>
                  <w:r>
                    <w:rPr>
                      <w:rFonts w:hint="default"/>
                      <w:color w:val="auto"/>
                    </w:rPr>
                    <w:t>dB(A)</w:t>
                  </w:r>
                </w:p>
              </w:tc>
              <w:tc>
                <w:tcPr>
                  <w:tcW w:w="2000" w:type="dxa"/>
                  <w:tcBorders>
                    <w:tl2br w:val="nil"/>
                    <w:tr2bl w:val="nil"/>
                  </w:tcBorders>
                  <w:noWrap w:val="0"/>
                  <w:vAlign w:val="center"/>
                </w:tcPr>
                <w:p w14:paraId="14CF5B40">
                  <w:pPr>
                    <w:pStyle w:val="17"/>
                    <w:bidi w:val="0"/>
                    <w:jc w:val="center"/>
                    <w:rPr>
                      <w:rFonts w:hint="eastAsia"/>
                      <w:color w:val="auto"/>
                      <w:lang w:val="en-US" w:eastAsia="zh-CN"/>
                    </w:rPr>
                  </w:pPr>
                  <w:r>
                    <w:rPr>
                      <w:rFonts w:hint="eastAsia"/>
                      <w:color w:val="auto"/>
                      <w:lang w:val="en-US" w:eastAsia="zh-CN"/>
                    </w:rPr>
                    <w:t>60</w:t>
                  </w:r>
                </w:p>
              </w:tc>
              <w:tc>
                <w:tcPr>
                  <w:tcW w:w="1995" w:type="dxa"/>
                  <w:tcBorders>
                    <w:tl2br w:val="nil"/>
                    <w:tr2bl w:val="nil"/>
                  </w:tcBorders>
                  <w:noWrap w:val="0"/>
                  <w:vAlign w:val="center"/>
                </w:tcPr>
                <w:p w14:paraId="759D1A08">
                  <w:pPr>
                    <w:pStyle w:val="17"/>
                    <w:bidi w:val="0"/>
                    <w:jc w:val="center"/>
                    <w:rPr>
                      <w:rFonts w:hint="eastAsia"/>
                      <w:color w:val="auto"/>
                      <w:lang w:val="en-US" w:eastAsia="zh-CN"/>
                    </w:rPr>
                  </w:pPr>
                  <w:r>
                    <w:rPr>
                      <w:rFonts w:hint="eastAsia"/>
                      <w:color w:val="auto"/>
                      <w:lang w:val="en-US" w:eastAsia="zh-CN"/>
                    </w:rPr>
                    <w:t>50</w:t>
                  </w:r>
                </w:p>
              </w:tc>
            </w:tr>
          </w:tbl>
          <w:p w14:paraId="2BA88191">
            <w:pPr>
              <w:rPr>
                <w:rFonts w:hint="eastAsia"/>
                <w:color w:val="auto"/>
                <w:lang w:eastAsia="zh-CN"/>
              </w:rPr>
            </w:pPr>
          </w:p>
          <w:p w14:paraId="531DCE63">
            <w:pPr>
              <w:keepNext w:val="0"/>
              <w:keepLines w:val="0"/>
              <w:pageBreakBefore w:val="0"/>
              <w:widowControl w:val="0"/>
              <w:kinsoku/>
              <w:wordWrap/>
              <w:overflowPunct/>
              <w:topLinePunct w:val="0"/>
              <w:autoSpaceDE/>
              <w:autoSpaceDN/>
              <w:bidi w:val="0"/>
              <w:adjustRightInd/>
              <w:snapToGrid/>
              <w:spacing w:line="360" w:lineRule="auto"/>
              <w:ind w:firstLine="498" w:firstLineChars="200"/>
              <w:textAlignment w:val="auto"/>
              <w:rPr>
                <w:rFonts w:hint="default"/>
                <w:b/>
                <w:bCs/>
                <w:color w:val="auto"/>
                <w:spacing w:val="4"/>
                <w:sz w:val="24"/>
                <w:szCs w:val="24"/>
                <w:lang w:val="en-US" w:eastAsia="zh-CN"/>
              </w:rPr>
            </w:pPr>
            <w:r>
              <w:rPr>
                <w:rFonts w:hint="eastAsia"/>
                <w:b/>
                <w:bCs/>
                <w:color w:val="auto"/>
                <w:spacing w:val="4"/>
                <w:sz w:val="24"/>
                <w:szCs w:val="24"/>
                <w:lang w:val="en-US" w:eastAsia="zh-CN"/>
              </w:rPr>
              <w:t>2、污染物排放标准</w:t>
            </w:r>
          </w:p>
          <w:p w14:paraId="774678C7">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（1）大气污染物排放标准：</w:t>
            </w:r>
          </w:p>
          <w:p w14:paraId="7FA8570D">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大气污染物排放执行《大气污染物综合排放标准》（GB16297-1996）中无组织排放监控浓度限值，其排放要求见表。</w:t>
            </w:r>
          </w:p>
          <w:p w14:paraId="09B58803">
            <w:pPr>
              <w:pStyle w:val="19"/>
              <w:bidi w:val="0"/>
              <w:rPr>
                <w:rFonts w:hint="eastAsia"/>
                <w:color w:val="auto"/>
                <w:lang w:val="en-US" w:eastAsia="zh-CN"/>
              </w:rPr>
            </w:pPr>
            <w:r>
              <w:rPr>
                <w:rFonts w:hint="eastAsia"/>
                <w:color w:val="auto"/>
                <w:lang w:val="en-US" w:eastAsia="zh-CN"/>
              </w:rPr>
              <w:t>表3.16  大气污染物排放浓度限值一览表</w:t>
            </w:r>
          </w:p>
          <w:tbl>
            <w:tblPr>
              <w:tblStyle w:val="9"/>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4482"/>
              <w:gridCol w:w="3747"/>
            </w:tblGrid>
            <w:tr w14:paraId="032E7AC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4" w:hRule="exact"/>
                <w:jc w:val="center"/>
              </w:trPr>
              <w:tc>
                <w:tcPr>
                  <w:tcW w:w="4482" w:type="dxa"/>
                  <w:tcBorders>
                    <w:tl2br w:val="nil"/>
                    <w:tr2bl w:val="nil"/>
                  </w:tcBorders>
                  <w:noWrap w:val="0"/>
                  <w:vAlign w:val="top"/>
                </w:tcPr>
                <w:p w14:paraId="68D6DC3C">
                  <w:pPr>
                    <w:pStyle w:val="17"/>
                    <w:bidi w:val="0"/>
                    <w:rPr>
                      <w:rFonts w:hint="default"/>
                      <w:color w:val="auto"/>
                    </w:rPr>
                  </w:pPr>
                  <w:r>
                    <w:rPr>
                      <w:rFonts w:hint="default"/>
                      <w:color w:val="auto"/>
                    </w:rPr>
                    <w:t>污染物</w:t>
                  </w:r>
                </w:p>
              </w:tc>
              <w:tc>
                <w:tcPr>
                  <w:tcW w:w="3747" w:type="dxa"/>
                  <w:tcBorders>
                    <w:tl2br w:val="nil"/>
                    <w:tr2bl w:val="nil"/>
                  </w:tcBorders>
                  <w:noWrap w:val="0"/>
                  <w:vAlign w:val="top"/>
                </w:tcPr>
                <w:p w14:paraId="3584C52A">
                  <w:pPr>
                    <w:pStyle w:val="17"/>
                    <w:bidi w:val="0"/>
                    <w:rPr>
                      <w:rFonts w:hint="default"/>
                      <w:color w:val="auto"/>
                    </w:rPr>
                  </w:pPr>
                  <w:r>
                    <w:rPr>
                      <w:rFonts w:hint="default"/>
                      <w:color w:val="auto"/>
                    </w:rPr>
                    <w:t>无组织排放监控浓度限值（mg/m</w:t>
                  </w:r>
                  <w:r>
                    <w:rPr>
                      <w:rFonts w:hint="default"/>
                      <w:color w:val="auto"/>
                      <w:vertAlign w:val="superscript"/>
                    </w:rPr>
                    <w:t>3</w:t>
                  </w:r>
                  <w:r>
                    <w:rPr>
                      <w:rFonts w:hint="default"/>
                      <w:color w:val="auto"/>
                    </w:rPr>
                    <w:t>）</w:t>
                  </w:r>
                </w:p>
              </w:tc>
            </w:tr>
            <w:tr w14:paraId="6CCA9DF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71" w:hRule="exact"/>
                <w:jc w:val="center"/>
              </w:trPr>
              <w:tc>
                <w:tcPr>
                  <w:tcW w:w="4482" w:type="dxa"/>
                  <w:tcBorders>
                    <w:tl2br w:val="nil"/>
                    <w:tr2bl w:val="nil"/>
                  </w:tcBorders>
                  <w:noWrap w:val="0"/>
                  <w:vAlign w:val="top"/>
                </w:tcPr>
                <w:p w14:paraId="48B4611B">
                  <w:pPr>
                    <w:pStyle w:val="17"/>
                    <w:bidi w:val="0"/>
                    <w:rPr>
                      <w:rFonts w:hint="default"/>
                      <w:color w:val="auto"/>
                    </w:rPr>
                  </w:pPr>
                  <w:r>
                    <w:rPr>
                      <w:rFonts w:hint="default"/>
                      <w:color w:val="auto"/>
                    </w:rPr>
                    <w:t>颗粒物</w:t>
                  </w:r>
                </w:p>
              </w:tc>
              <w:tc>
                <w:tcPr>
                  <w:tcW w:w="3747" w:type="dxa"/>
                  <w:tcBorders>
                    <w:tl2br w:val="nil"/>
                    <w:tr2bl w:val="nil"/>
                  </w:tcBorders>
                  <w:noWrap w:val="0"/>
                  <w:vAlign w:val="top"/>
                </w:tcPr>
                <w:p w14:paraId="2FDF2CF7">
                  <w:pPr>
                    <w:pStyle w:val="17"/>
                    <w:bidi w:val="0"/>
                    <w:rPr>
                      <w:rFonts w:hint="default"/>
                      <w:color w:val="auto"/>
                    </w:rPr>
                  </w:pPr>
                  <w:r>
                    <w:rPr>
                      <w:rFonts w:hint="default"/>
                      <w:color w:val="auto"/>
                    </w:rPr>
                    <w:t>1.0</w:t>
                  </w:r>
                </w:p>
              </w:tc>
            </w:tr>
          </w:tbl>
          <w:p w14:paraId="188DED9E">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color w:val="auto"/>
                <w:sz w:val="24"/>
                <w:szCs w:val="24"/>
                <w:lang w:val="en-US" w:eastAsia="zh-CN"/>
              </w:rPr>
            </w:pPr>
            <w:r>
              <w:rPr>
                <w:rFonts w:hint="eastAsia"/>
                <w:color w:val="auto"/>
                <w:sz w:val="24"/>
                <w:szCs w:val="24"/>
                <w:lang w:val="en-US" w:eastAsia="zh-CN"/>
              </w:rPr>
              <w:t>（2）环境噪声排放标准</w:t>
            </w:r>
          </w:p>
          <w:p w14:paraId="6AB4E290">
            <w:pPr>
              <w:keepNext w:val="0"/>
              <w:keepLines w:val="0"/>
              <w:pageBreakBefore w:val="0"/>
              <w:widowControl w:val="0"/>
              <w:kinsoku/>
              <w:wordWrap w:val="0"/>
              <w:overflowPunct/>
              <w:topLinePunct w:val="0"/>
              <w:autoSpaceDE w:val="0"/>
              <w:autoSpaceDN w:val="0"/>
              <w:bidi w:val="0"/>
              <w:adjustRightInd/>
              <w:snapToGrid/>
              <w:spacing w:line="360" w:lineRule="auto"/>
              <w:ind w:firstLine="480" w:firstLineChars="200"/>
              <w:jc w:val="left"/>
              <w:textAlignment w:val="auto"/>
              <w:rPr>
                <w:rFonts w:hint="default"/>
                <w:color w:val="auto"/>
                <w:sz w:val="24"/>
                <w:szCs w:val="24"/>
                <w:lang w:val="en-US" w:eastAsia="zh-CN"/>
              </w:rPr>
            </w:pPr>
            <w:r>
              <w:rPr>
                <w:rFonts w:hint="eastAsia"/>
                <w:color w:val="auto"/>
                <w:sz w:val="24"/>
                <w:szCs w:val="24"/>
                <w:lang w:val="en-US" w:eastAsia="zh-CN"/>
              </w:rPr>
              <w:t>施工期建筑施工场界环境噪声执行《建筑施工噪声排放标准》（GB12523-2025）；运营期泵站噪声执行《工业企业厂界环境噪声排放标准》（GB12348-2008）2类要求，见表3.7。</w:t>
            </w:r>
          </w:p>
          <w:p w14:paraId="2D767B75">
            <w:pPr>
              <w:pStyle w:val="19"/>
              <w:bidi w:val="0"/>
              <w:rPr>
                <w:rFonts w:hint="eastAsia"/>
                <w:color w:val="auto"/>
                <w:lang w:val="en-US" w:eastAsia="zh-CN"/>
              </w:rPr>
            </w:pPr>
            <w:r>
              <w:rPr>
                <w:rFonts w:hint="eastAsia"/>
                <w:color w:val="auto"/>
                <w:lang w:val="en-US" w:eastAsia="zh-CN"/>
              </w:rPr>
              <w:t>表 3.17</w:t>
            </w:r>
            <w:r>
              <w:rPr>
                <w:rFonts w:hint="eastAsia"/>
                <w:color w:val="auto"/>
                <w:lang w:val="en-US" w:eastAsia="zh-CN"/>
              </w:rPr>
              <w:tab/>
            </w:r>
            <w:r>
              <w:rPr>
                <w:rFonts w:hint="eastAsia"/>
                <w:color w:val="auto"/>
                <w:lang w:val="en-US" w:eastAsia="zh-CN"/>
              </w:rPr>
              <w:t>噪声排放限值一览表</w:t>
            </w:r>
          </w:p>
          <w:tbl>
            <w:tblPr>
              <w:tblStyle w:val="9"/>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1414"/>
              <w:gridCol w:w="2906"/>
              <w:gridCol w:w="1082"/>
              <w:gridCol w:w="1415"/>
              <w:gridCol w:w="1412"/>
            </w:tblGrid>
            <w:tr w14:paraId="2E354E6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1414" w:type="dxa"/>
                  <w:vMerge w:val="restart"/>
                  <w:tcBorders>
                    <w:tl2br w:val="nil"/>
                    <w:tr2bl w:val="nil"/>
                  </w:tcBorders>
                  <w:noWrap w:val="0"/>
                  <w:vAlign w:val="center"/>
                </w:tcPr>
                <w:p w14:paraId="2FF3E647">
                  <w:pPr>
                    <w:pStyle w:val="17"/>
                    <w:bidi w:val="0"/>
                    <w:jc w:val="center"/>
                    <w:rPr>
                      <w:rFonts w:hint="default"/>
                      <w:color w:val="auto"/>
                    </w:rPr>
                  </w:pPr>
                  <w:r>
                    <w:rPr>
                      <w:rFonts w:hint="default"/>
                      <w:color w:val="auto"/>
                    </w:rPr>
                    <w:t>时段</w:t>
                  </w:r>
                </w:p>
              </w:tc>
              <w:tc>
                <w:tcPr>
                  <w:tcW w:w="2906" w:type="dxa"/>
                  <w:vMerge w:val="restart"/>
                  <w:tcBorders>
                    <w:tl2br w:val="nil"/>
                    <w:tr2bl w:val="nil"/>
                  </w:tcBorders>
                  <w:noWrap w:val="0"/>
                  <w:vAlign w:val="center"/>
                </w:tcPr>
                <w:p w14:paraId="151E28F5">
                  <w:pPr>
                    <w:pStyle w:val="17"/>
                    <w:bidi w:val="0"/>
                    <w:jc w:val="center"/>
                    <w:rPr>
                      <w:rFonts w:hint="eastAsia" w:eastAsia="宋体"/>
                      <w:color w:val="auto"/>
                      <w:lang w:eastAsia="zh-CN"/>
                    </w:rPr>
                  </w:pPr>
                  <w:r>
                    <w:rPr>
                      <w:rFonts w:hint="eastAsia"/>
                      <w:color w:val="auto"/>
                      <w:lang w:val="en-US" w:eastAsia="zh-CN"/>
                    </w:rPr>
                    <w:t>/</w:t>
                  </w:r>
                </w:p>
              </w:tc>
              <w:tc>
                <w:tcPr>
                  <w:tcW w:w="1082" w:type="dxa"/>
                  <w:vMerge w:val="restart"/>
                  <w:tcBorders>
                    <w:tl2br w:val="nil"/>
                    <w:tr2bl w:val="nil"/>
                  </w:tcBorders>
                  <w:noWrap w:val="0"/>
                  <w:vAlign w:val="center"/>
                </w:tcPr>
                <w:p w14:paraId="07ABD309">
                  <w:pPr>
                    <w:pStyle w:val="17"/>
                    <w:bidi w:val="0"/>
                    <w:jc w:val="center"/>
                    <w:rPr>
                      <w:rFonts w:hint="default"/>
                      <w:color w:val="auto"/>
                    </w:rPr>
                  </w:pPr>
                  <w:r>
                    <w:rPr>
                      <w:rFonts w:hint="default"/>
                      <w:color w:val="auto"/>
                    </w:rPr>
                    <w:t>单位</w:t>
                  </w:r>
                </w:p>
              </w:tc>
              <w:tc>
                <w:tcPr>
                  <w:tcW w:w="2827" w:type="dxa"/>
                  <w:gridSpan w:val="2"/>
                  <w:tcBorders>
                    <w:tl2br w:val="nil"/>
                    <w:tr2bl w:val="nil"/>
                  </w:tcBorders>
                  <w:noWrap w:val="0"/>
                  <w:vAlign w:val="center"/>
                </w:tcPr>
                <w:p w14:paraId="63565A29">
                  <w:pPr>
                    <w:pStyle w:val="17"/>
                    <w:bidi w:val="0"/>
                    <w:jc w:val="center"/>
                    <w:rPr>
                      <w:rFonts w:hint="default"/>
                      <w:color w:val="auto"/>
                    </w:rPr>
                  </w:pPr>
                  <w:r>
                    <w:rPr>
                      <w:rFonts w:hint="default"/>
                      <w:color w:val="auto"/>
                    </w:rPr>
                    <w:t>排放限值</w:t>
                  </w:r>
                </w:p>
              </w:tc>
            </w:tr>
            <w:tr w14:paraId="0012323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1414" w:type="dxa"/>
                  <w:vMerge w:val="continue"/>
                  <w:tcBorders>
                    <w:tl2br w:val="nil"/>
                    <w:tr2bl w:val="nil"/>
                  </w:tcBorders>
                  <w:noWrap w:val="0"/>
                  <w:vAlign w:val="center"/>
                </w:tcPr>
                <w:p w14:paraId="2149C759">
                  <w:pPr>
                    <w:pStyle w:val="17"/>
                    <w:bidi w:val="0"/>
                    <w:jc w:val="center"/>
                    <w:rPr>
                      <w:rFonts w:hint="default"/>
                      <w:color w:val="auto"/>
                    </w:rPr>
                  </w:pPr>
                </w:p>
              </w:tc>
              <w:tc>
                <w:tcPr>
                  <w:tcW w:w="2906" w:type="dxa"/>
                  <w:vMerge w:val="continue"/>
                  <w:tcBorders>
                    <w:tl2br w:val="nil"/>
                    <w:tr2bl w:val="nil"/>
                  </w:tcBorders>
                  <w:noWrap w:val="0"/>
                  <w:vAlign w:val="center"/>
                </w:tcPr>
                <w:p w14:paraId="64D81771">
                  <w:pPr>
                    <w:pStyle w:val="17"/>
                    <w:bidi w:val="0"/>
                    <w:jc w:val="center"/>
                    <w:rPr>
                      <w:rFonts w:hint="default"/>
                      <w:color w:val="auto"/>
                    </w:rPr>
                  </w:pPr>
                </w:p>
              </w:tc>
              <w:tc>
                <w:tcPr>
                  <w:tcW w:w="1082" w:type="dxa"/>
                  <w:vMerge w:val="continue"/>
                  <w:tcBorders>
                    <w:tl2br w:val="nil"/>
                    <w:tr2bl w:val="nil"/>
                  </w:tcBorders>
                  <w:noWrap w:val="0"/>
                  <w:vAlign w:val="center"/>
                </w:tcPr>
                <w:p w14:paraId="528B914E">
                  <w:pPr>
                    <w:pStyle w:val="17"/>
                    <w:bidi w:val="0"/>
                    <w:jc w:val="center"/>
                    <w:rPr>
                      <w:rFonts w:hint="default"/>
                      <w:color w:val="auto"/>
                    </w:rPr>
                  </w:pPr>
                </w:p>
              </w:tc>
              <w:tc>
                <w:tcPr>
                  <w:tcW w:w="1415" w:type="dxa"/>
                  <w:tcBorders>
                    <w:tl2br w:val="nil"/>
                    <w:tr2bl w:val="nil"/>
                  </w:tcBorders>
                  <w:noWrap w:val="0"/>
                  <w:vAlign w:val="center"/>
                </w:tcPr>
                <w:p w14:paraId="74FAD0E1">
                  <w:pPr>
                    <w:pStyle w:val="17"/>
                    <w:bidi w:val="0"/>
                    <w:jc w:val="center"/>
                    <w:rPr>
                      <w:rFonts w:hint="default"/>
                      <w:color w:val="auto"/>
                    </w:rPr>
                  </w:pPr>
                  <w:r>
                    <w:rPr>
                      <w:rFonts w:hint="default"/>
                      <w:color w:val="auto"/>
                    </w:rPr>
                    <w:t>昼间</w:t>
                  </w:r>
                </w:p>
              </w:tc>
              <w:tc>
                <w:tcPr>
                  <w:tcW w:w="1412" w:type="dxa"/>
                  <w:tcBorders>
                    <w:tl2br w:val="nil"/>
                    <w:tr2bl w:val="nil"/>
                  </w:tcBorders>
                  <w:noWrap w:val="0"/>
                  <w:vAlign w:val="center"/>
                </w:tcPr>
                <w:p w14:paraId="06FABB31">
                  <w:pPr>
                    <w:pStyle w:val="17"/>
                    <w:bidi w:val="0"/>
                    <w:jc w:val="center"/>
                    <w:rPr>
                      <w:rFonts w:hint="default"/>
                      <w:color w:val="auto"/>
                    </w:rPr>
                  </w:pPr>
                  <w:r>
                    <w:rPr>
                      <w:rFonts w:hint="default"/>
                      <w:color w:val="auto"/>
                    </w:rPr>
                    <w:t>夜间</w:t>
                  </w:r>
                </w:p>
              </w:tc>
            </w:tr>
            <w:tr w14:paraId="57FAAA1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1414" w:type="dxa"/>
                  <w:tcBorders>
                    <w:tl2br w:val="nil"/>
                    <w:tr2bl w:val="nil"/>
                  </w:tcBorders>
                  <w:noWrap w:val="0"/>
                  <w:vAlign w:val="center"/>
                </w:tcPr>
                <w:p w14:paraId="4E2531C7">
                  <w:pPr>
                    <w:pStyle w:val="17"/>
                    <w:bidi w:val="0"/>
                    <w:jc w:val="center"/>
                    <w:rPr>
                      <w:rFonts w:hint="default"/>
                      <w:color w:val="auto"/>
                    </w:rPr>
                  </w:pPr>
                  <w:r>
                    <w:rPr>
                      <w:rFonts w:hint="default"/>
                      <w:color w:val="auto"/>
                    </w:rPr>
                    <w:t>施工期</w:t>
                  </w:r>
                </w:p>
              </w:tc>
              <w:tc>
                <w:tcPr>
                  <w:tcW w:w="2906" w:type="dxa"/>
                  <w:tcBorders>
                    <w:tl2br w:val="nil"/>
                    <w:tr2bl w:val="nil"/>
                  </w:tcBorders>
                  <w:noWrap w:val="0"/>
                  <w:vAlign w:val="center"/>
                </w:tcPr>
                <w:p w14:paraId="4E1E29D4">
                  <w:pPr>
                    <w:pStyle w:val="17"/>
                    <w:bidi w:val="0"/>
                    <w:jc w:val="center"/>
                    <w:rPr>
                      <w:rFonts w:hint="default"/>
                      <w:color w:val="auto"/>
                    </w:rPr>
                  </w:pPr>
                  <w:r>
                    <w:rPr>
                      <w:rFonts w:hint="default"/>
                      <w:color w:val="auto"/>
                    </w:rPr>
                    <w:t>建筑施工场界</w:t>
                  </w:r>
                </w:p>
              </w:tc>
              <w:tc>
                <w:tcPr>
                  <w:tcW w:w="1082" w:type="dxa"/>
                  <w:vMerge w:val="restart"/>
                  <w:tcBorders>
                    <w:tl2br w:val="nil"/>
                    <w:tr2bl w:val="nil"/>
                  </w:tcBorders>
                  <w:noWrap w:val="0"/>
                  <w:vAlign w:val="center"/>
                </w:tcPr>
                <w:p w14:paraId="68221DDD">
                  <w:pPr>
                    <w:pStyle w:val="17"/>
                    <w:bidi w:val="0"/>
                    <w:jc w:val="center"/>
                    <w:rPr>
                      <w:rFonts w:hint="default"/>
                      <w:color w:val="auto"/>
                    </w:rPr>
                  </w:pPr>
                  <w:r>
                    <w:rPr>
                      <w:rFonts w:hint="default"/>
                      <w:color w:val="auto"/>
                    </w:rPr>
                    <w:t>dB(A)</w:t>
                  </w:r>
                </w:p>
              </w:tc>
              <w:tc>
                <w:tcPr>
                  <w:tcW w:w="1415" w:type="dxa"/>
                  <w:tcBorders>
                    <w:tl2br w:val="nil"/>
                    <w:tr2bl w:val="nil"/>
                  </w:tcBorders>
                  <w:noWrap w:val="0"/>
                  <w:vAlign w:val="center"/>
                </w:tcPr>
                <w:p w14:paraId="78403690">
                  <w:pPr>
                    <w:pStyle w:val="17"/>
                    <w:bidi w:val="0"/>
                    <w:jc w:val="center"/>
                    <w:rPr>
                      <w:rFonts w:hint="default"/>
                      <w:color w:val="auto"/>
                    </w:rPr>
                  </w:pPr>
                  <w:r>
                    <w:rPr>
                      <w:rFonts w:hint="default"/>
                      <w:color w:val="auto"/>
                    </w:rPr>
                    <w:t>70</w:t>
                  </w:r>
                </w:p>
              </w:tc>
              <w:tc>
                <w:tcPr>
                  <w:tcW w:w="1412" w:type="dxa"/>
                  <w:tcBorders>
                    <w:tl2br w:val="nil"/>
                    <w:tr2bl w:val="nil"/>
                  </w:tcBorders>
                  <w:noWrap w:val="0"/>
                  <w:vAlign w:val="center"/>
                </w:tcPr>
                <w:p w14:paraId="627B6F8E">
                  <w:pPr>
                    <w:pStyle w:val="17"/>
                    <w:bidi w:val="0"/>
                    <w:jc w:val="center"/>
                    <w:rPr>
                      <w:rFonts w:hint="default"/>
                      <w:color w:val="auto"/>
                    </w:rPr>
                  </w:pPr>
                  <w:r>
                    <w:rPr>
                      <w:rFonts w:hint="default"/>
                      <w:color w:val="auto"/>
                    </w:rPr>
                    <w:t>55</w:t>
                  </w:r>
                </w:p>
              </w:tc>
            </w:tr>
            <w:tr w14:paraId="79A4A88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1414" w:type="dxa"/>
                  <w:tcBorders>
                    <w:tl2br w:val="nil"/>
                    <w:tr2bl w:val="nil"/>
                  </w:tcBorders>
                  <w:noWrap w:val="0"/>
                  <w:vAlign w:val="center"/>
                </w:tcPr>
                <w:p w14:paraId="7EF0C613">
                  <w:pPr>
                    <w:pStyle w:val="17"/>
                    <w:bidi w:val="0"/>
                    <w:jc w:val="center"/>
                    <w:rPr>
                      <w:rFonts w:hint="default" w:eastAsia="宋体"/>
                      <w:color w:val="auto"/>
                      <w:lang w:val="en-US" w:eastAsia="zh-CN"/>
                    </w:rPr>
                  </w:pPr>
                  <w:r>
                    <w:rPr>
                      <w:rFonts w:hint="eastAsia"/>
                      <w:color w:val="auto"/>
                      <w:lang w:val="en-US" w:eastAsia="zh-CN"/>
                    </w:rPr>
                    <w:t>运营期</w:t>
                  </w:r>
                </w:p>
              </w:tc>
              <w:tc>
                <w:tcPr>
                  <w:tcW w:w="2906" w:type="dxa"/>
                  <w:tcBorders>
                    <w:tl2br w:val="nil"/>
                    <w:tr2bl w:val="nil"/>
                  </w:tcBorders>
                  <w:noWrap w:val="0"/>
                  <w:vAlign w:val="center"/>
                </w:tcPr>
                <w:p w14:paraId="2F64C126">
                  <w:pPr>
                    <w:pStyle w:val="17"/>
                    <w:bidi w:val="0"/>
                    <w:jc w:val="center"/>
                    <w:rPr>
                      <w:rFonts w:hint="default" w:eastAsia="宋体"/>
                      <w:color w:val="auto"/>
                      <w:lang w:val="en-US" w:eastAsia="zh-CN"/>
                    </w:rPr>
                  </w:pPr>
                  <w:r>
                    <w:rPr>
                      <w:rFonts w:hint="eastAsia"/>
                      <w:color w:val="auto"/>
                      <w:lang w:val="en-US" w:eastAsia="zh-CN"/>
                    </w:rPr>
                    <w:t>厂界</w:t>
                  </w:r>
                </w:p>
              </w:tc>
              <w:tc>
                <w:tcPr>
                  <w:tcW w:w="1082" w:type="dxa"/>
                  <w:vMerge w:val="continue"/>
                  <w:tcBorders>
                    <w:tl2br w:val="nil"/>
                    <w:tr2bl w:val="nil"/>
                  </w:tcBorders>
                  <w:noWrap w:val="0"/>
                  <w:vAlign w:val="center"/>
                </w:tcPr>
                <w:p w14:paraId="7C7011F8">
                  <w:pPr>
                    <w:pStyle w:val="17"/>
                    <w:bidi w:val="0"/>
                    <w:jc w:val="center"/>
                    <w:rPr>
                      <w:rFonts w:hint="default"/>
                      <w:color w:val="auto"/>
                    </w:rPr>
                  </w:pPr>
                </w:p>
              </w:tc>
              <w:tc>
                <w:tcPr>
                  <w:tcW w:w="1415" w:type="dxa"/>
                  <w:tcBorders>
                    <w:tl2br w:val="nil"/>
                    <w:tr2bl w:val="nil"/>
                  </w:tcBorders>
                  <w:noWrap w:val="0"/>
                  <w:vAlign w:val="center"/>
                </w:tcPr>
                <w:p w14:paraId="3D75DCCD">
                  <w:pPr>
                    <w:pStyle w:val="17"/>
                    <w:bidi w:val="0"/>
                    <w:jc w:val="center"/>
                    <w:rPr>
                      <w:rFonts w:hint="default" w:eastAsia="宋体"/>
                      <w:color w:val="auto"/>
                      <w:lang w:val="en-US" w:eastAsia="zh-CN"/>
                    </w:rPr>
                  </w:pPr>
                  <w:r>
                    <w:rPr>
                      <w:rFonts w:hint="eastAsia"/>
                      <w:color w:val="auto"/>
                      <w:lang w:val="en-US" w:eastAsia="zh-CN"/>
                    </w:rPr>
                    <w:t>60</w:t>
                  </w:r>
                </w:p>
              </w:tc>
              <w:tc>
                <w:tcPr>
                  <w:tcW w:w="1412" w:type="dxa"/>
                  <w:tcBorders>
                    <w:tl2br w:val="nil"/>
                    <w:tr2bl w:val="nil"/>
                  </w:tcBorders>
                  <w:noWrap w:val="0"/>
                  <w:vAlign w:val="center"/>
                </w:tcPr>
                <w:p w14:paraId="051FC11A">
                  <w:pPr>
                    <w:pStyle w:val="17"/>
                    <w:bidi w:val="0"/>
                    <w:jc w:val="center"/>
                    <w:rPr>
                      <w:rFonts w:hint="default" w:eastAsia="宋体"/>
                      <w:color w:val="auto"/>
                      <w:lang w:val="en-US" w:eastAsia="zh-CN"/>
                    </w:rPr>
                  </w:pPr>
                  <w:r>
                    <w:rPr>
                      <w:rFonts w:hint="eastAsia"/>
                      <w:color w:val="auto"/>
                      <w:lang w:val="en-US" w:eastAsia="zh-CN"/>
                    </w:rPr>
                    <w:t>50</w:t>
                  </w:r>
                </w:p>
              </w:tc>
            </w:tr>
          </w:tbl>
          <w:p w14:paraId="0AD312F9">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color w:val="auto"/>
                <w:sz w:val="24"/>
                <w:szCs w:val="24"/>
                <w:lang w:val="en-US" w:eastAsia="zh-CN"/>
              </w:rPr>
            </w:pPr>
          </w:p>
          <w:p w14:paraId="57F9D55D">
            <w:pPr>
              <w:keepNext w:val="0"/>
              <w:keepLines w:val="0"/>
              <w:pageBreakBefore w:val="0"/>
              <w:widowControl w:val="0"/>
              <w:kinsoku/>
              <w:wordWrap/>
              <w:overflowPunct/>
              <w:topLinePunct w:val="0"/>
              <w:autoSpaceDE/>
              <w:autoSpaceDN/>
              <w:bidi w:val="0"/>
              <w:adjustRightInd/>
              <w:snapToGrid/>
              <w:spacing w:line="360" w:lineRule="auto"/>
              <w:ind w:firstLine="498" w:firstLineChars="200"/>
              <w:textAlignment w:val="auto"/>
              <w:rPr>
                <w:rFonts w:hint="eastAsia"/>
                <w:b/>
                <w:bCs/>
                <w:color w:val="auto"/>
                <w:spacing w:val="4"/>
                <w:sz w:val="24"/>
                <w:szCs w:val="24"/>
              </w:rPr>
            </w:pPr>
            <w:r>
              <w:rPr>
                <w:rFonts w:hint="eastAsia"/>
                <w:b/>
                <w:bCs/>
                <w:color w:val="auto"/>
                <w:spacing w:val="4"/>
                <w:sz w:val="24"/>
                <w:szCs w:val="24"/>
                <w:lang w:eastAsia="zh-CN"/>
              </w:rPr>
              <w:t>（</w:t>
            </w:r>
            <w:r>
              <w:rPr>
                <w:rFonts w:hint="eastAsia"/>
                <w:b/>
                <w:bCs/>
                <w:color w:val="auto"/>
                <w:spacing w:val="4"/>
                <w:sz w:val="24"/>
                <w:szCs w:val="24"/>
                <w:lang w:val="en-US" w:eastAsia="zh-CN"/>
              </w:rPr>
              <w:t>4</w:t>
            </w:r>
            <w:r>
              <w:rPr>
                <w:rFonts w:hint="eastAsia"/>
                <w:b/>
                <w:bCs/>
                <w:color w:val="auto"/>
                <w:spacing w:val="4"/>
                <w:sz w:val="24"/>
                <w:szCs w:val="24"/>
                <w:lang w:eastAsia="zh-CN"/>
              </w:rPr>
              <w:t>）</w:t>
            </w:r>
            <w:r>
              <w:rPr>
                <w:rFonts w:hint="eastAsia"/>
                <w:b/>
                <w:bCs/>
                <w:color w:val="auto"/>
                <w:spacing w:val="4"/>
                <w:sz w:val="24"/>
                <w:szCs w:val="24"/>
              </w:rPr>
              <w:t>固体废物</w:t>
            </w:r>
          </w:p>
          <w:p w14:paraId="0A5A917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Times New Roman" w:cs="Times New Roman"/>
                <w:color w:val="auto"/>
                <w:sz w:val="24"/>
                <w:szCs w:val="24"/>
              </w:rPr>
            </w:pPr>
            <w:r>
              <w:rPr>
                <w:rFonts w:hint="eastAsia" w:ascii="宋体" w:hAnsi="宋体" w:eastAsia="宋体" w:cs="宋体"/>
                <w:b w:val="0"/>
                <w:bCs w:val="0"/>
                <w:color w:val="auto"/>
                <w:sz w:val="24"/>
                <w:szCs w:val="24"/>
                <w:lang w:eastAsia="zh-CN"/>
              </w:rPr>
              <w:t>一般工业固体废物贮存、处置执行《一般工业固体废物贮存和填埋污染控制指标》（GB18599-2020）中有关规定；危险废物贮存执行《危险废物贮存污染控制标准》（GB18597-2023）。</w:t>
            </w:r>
          </w:p>
        </w:tc>
      </w:tr>
      <w:tr w14:paraId="4E911FC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15" w:type="dxa"/>
            <w:vAlign w:val="center"/>
          </w:tcPr>
          <w:p w14:paraId="4242A483">
            <w:pPr>
              <w:adjustRightInd w:val="0"/>
              <w:snapToGrid w:val="0"/>
              <w:jc w:val="center"/>
              <w:rPr>
                <w:rFonts w:hint="eastAsia" w:ascii="宋体" w:hAnsi="宋体" w:eastAsia="宋体" w:cs="宋体"/>
                <w:color w:val="auto"/>
                <w:kern w:val="0"/>
                <w:sz w:val="24"/>
                <w:szCs w:val="24"/>
                <w:lang w:eastAsia="zh-CN"/>
              </w:rPr>
            </w:pPr>
            <w:r>
              <w:rPr>
                <w:rFonts w:hint="eastAsia" w:ascii="宋体" w:hAnsi="宋体" w:cs="宋体"/>
                <w:color w:val="auto"/>
                <w:kern w:val="0"/>
                <w:sz w:val="24"/>
                <w:szCs w:val="24"/>
                <w:lang w:eastAsia="zh-CN"/>
              </w:rPr>
              <w:t>其他</w:t>
            </w:r>
          </w:p>
        </w:tc>
        <w:tc>
          <w:tcPr>
            <w:tcW w:w="8475" w:type="dxa"/>
            <w:vAlign w:val="center"/>
          </w:tcPr>
          <w:p w14:paraId="06AD5F2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color w:val="auto"/>
                <w:sz w:val="24"/>
                <w:szCs w:val="24"/>
                <w:lang w:val="en-US" w:eastAsia="zh-CN"/>
              </w:rPr>
            </w:pPr>
            <w:r>
              <w:rPr>
                <w:rFonts w:hint="eastAsia"/>
                <w:color w:val="auto"/>
                <w:sz w:val="24"/>
                <w:szCs w:val="24"/>
                <w:lang w:val="en-US" w:eastAsia="zh-CN"/>
              </w:rPr>
              <w:t>总量控制</w:t>
            </w:r>
          </w:p>
          <w:p w14:paraId="0CC842A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color w:val="auto"/>
                <w:sz w:val="24"/>
                <w:szCs w:val="24"/>
                <w:lang w:val="en-US" w:eastAsia="zh-CN"/>
              </w:rPr>
            </w:pPr>
            <w:r>
              <w:rPr>
                <w:rFonts w:hint="eastAsia"/>
                <w:color w:val="auto"/>
                <w:sz w:val="24"/>
                <w:szCs w:val="24"/>
                <w:lang w:val="en-US" w:eastAsia="zh-CN"/>
              </w:rPr>
              <w:t>无</w:t>
            </w:r>
          </w:p>
          <w:p w14:paraId="73A8063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color w:val="auto"/>
                <w:sz w:val="24"/>
                <w:szCs w:val="24"/>
                <w:lang w:val="en-US" w:eastAsia="zh-CN"/>
              </w:rPr>
            </w:pPr>
          </w:p>
          <w:p w14:paraId="51D05D9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color w:val="auto"/>
                <w:sz w:val="24"/>
                <w:szCs w:val="24"/>
                <w:lang w:val="en-US" w:eastAsia="zh-CN"/>
              </w:rPr>
            </w:pPr>
          </w:p>
          <w:p w14:paraId="40E4438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color w:val="auto"/>
                <w:sz w:val="24"/>
                <w:szCs w:val="24"/>
                <w:lang w:val="en-US" w:eastAsia="zh-CN"/>
              </w:rPr>
            </w:pPr>
          </w:p>
          <w:p w14:paraId="4F74A6C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color w:val="auto"/>
                <w:sz w:val="24"/>
                <w:szCs w:val="24"/>
                <w:lang w:val="en-US" w:eastAsia="zh-CN"/>
              </w:rPr>
            </w:pPr>
          </w:p>
          <w:p w14:paraId="16BB055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color w:val="auto"/>
                <w:sz w:val="24"/>
                <w:szCs w:val="24"/>
                <w:lang w:val="en-US" w:eastAsia="zh-CN"/>
              </w:rPr>
            </w:pPr>
          </w:p>
          <w:p w14:paraId="7D0C669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color w:val="auto"/>
                <w:sz w:val="24"/>
                <w:szCs w:val="24"/>
                <w:lang w:val="en-US" w:eastAsia="zh-CN"/>
              </w:rPr>
            </w:pPr>
          </w:p>
          <w:p w14:paraId="78F5D5C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color w:val="auto"/>
                <w:sz w:val="24"/>
                <w:szCs w:val="24"/>
                <w:lang w:val="en-US" w:eastAsia="zh-CN"/>
              </w:rPr>
            </w:pPr>
          </w:p>
          <w:p w14:paraId="1CC6479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color w:val="auto"/>
                <w:sz w:val="24"/>
                <w:szCs w:val="24"/>
                <w:lang w:val="en-US" w:eastAsia="zh-CN"/>
              </w:rPr>
            </w:pPr>
          </w:p>
          <w:p w14:paraId="4201D61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color w:val="auto"/>
                <w:sz w:val="24"/>
                <w:szCs w:val="24"/>
                <w:lang w:val="en-US" w:eastAsia="zh-CN"/>
              </w:rPr>
            </w:pPr>
          </w:p>
          <w:p w14:paraId="446D462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color w:val="auto"/>
                <w:sz w:val="24"/>
                <w:szCs w:val="24"/>
                <w:lang w:val="en-US" w:eastAsia="zh-CN"/>
              </w:rPr>
            </w:pPr>
          </w:p>
          <w:p w14:paraId="28BE713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color w:val="auto"/>
                <w:sz w:val="24"/>
                <w:szCs w:val="24"/>
                <w:lang w:val="en-US" w:eastAsia="zh-CN"/>
              </w:rPr>
            </w:pPr>
          </w:p>
          <w:p w14:paraId="6115311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color w:val="auto"/>
                <w:sz w:val="24"/>
                <w:szCs w:val="24"/>
                <w:lang w:val="en-US" w:eastAsia="zh-CN"/>
              </w:rPr>
            </w:pPr>
          </w:p>
        </w:tc>
      </w:tr>
    </w:tbl>
    <w:p w14:paraId="50080C03">
      <w:pPr>
        <w:keepNext w:val="0"/>
        <w:keepLines w:val="0"/>
        <w:pageBreakBefore w:val="0"/>
        <w:widowControl/>
        <w:kinsoku/>
        <w:wordWrap/>
        <w:overflowPunct/>
        <w:topLinePunct w:val="0"/>
        <w:autoSpaceDE/>
        <w:autoSpaceDN/>
        <w:bidi w:val="0"/>
        <w:adjustRightInd/>
        <w:snapToGrid/>
        <w:spacing w:before="0" w:beforeAutospacing="0" w:after="0" w:afterAutospacing="0"/>
        <w:jc w:val="center"/>
        <w:textAlignment w:val="auto"/>
        <w:outlineLvl w:val="0"/>
        <w:rPr>
          <w:rFonts w:hint="default" w:ascii="黑体" w:hAnsi="黑体" w:eastAsia="黑体"/>
          <w:snapToGrid w:val="0"/>
          <w:color w:val="FF0000"/>
          <w:sz w:val="30"/>
          <w:szCs w:val="30"/>
          <w:lang w:val="en-US" w:eastAsia="zh-CN"/>
        </w:rPr>
      </w:pPr>
      <w:r>
        <w:rPr>
          <w:rFonts w:ascii="黑体" w:hAnsi="黑体" w:eastAsia="黑体"/>
          <w:snapToGrid w:val="0"/>
          <w:color w:val="FF0000"/>
          <w:sz w:val="36"/>
          <w:szCs w:val="36"/>
        </w:rPr>
        <w:br w:type="page"/>
      </w:r>
      <w:bookmarkStart w:id="7" w:name="_Toc8770"/>
      <w:bookmarkStart w:id="8" w:name="_Toc19652"/>
      <w:r>
        <w:rPr>
          <w:rFonts w:hint="eastAsia" w:ascii="黑体" w:hAnsi="黑体" w:eastAsia="黑体"/>
          <w:snapToGrid w:val="0"/>
          <w:color w:val="auto"/>
          <w:sz w:val="30"/>
          <w:szCs w:val="30"/>
        </w:rPr>
        <w:t>四、主要环境影响和保护措施</w:t>
      </w:r>
      <w:bookmarkEnd w:id="7"/>
      <w:bookmarkEnd w:id="8"/>
    </w:p>
    <w:tbl>
      <w:tblPr>
        <w:tblStyle w:val="9"/>
        <w:tblW w:w="8908"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549"/>
        <w:gridCol w:w="8359"/>
      </w:tblGrid>
      <w:tr w14:paraId="675754E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19" w:hRule="atLeast"/>
          <w:jc w:val="center"/>
        </w:trPr>
        <w:tc>
          <w:tcPr>
            <w:tcW w:w="549" w:type="dxa"/>
            <w:tcMar>
              <w:left w:w="28" w:type="dxa"/>
              <w:right w:w="28" w:type="dxa"/>
            </w:tcMar>
            <w:vAlign w:val="center"/>
          </w:tcPr>
          <w:p w14:paraId="1085F036">
            <w:pPr>
              <w:adjustRightInd w:val="0"/>
              <w:snapToGrid w:val="0"/>
              <w:spacing w:before="0" w:beforeAutospacing="0" w:after="0" w:afterAutospacing="0"/>
              <w:jc w:val="center"/>
              <w:rPr>
                <w:rFonts w:hint="eastAsia" w:cs="宋体"/>
                <w:color w:val="auto"/>
                <w:kern w:val="2"/>
                <w:sz w:val="24"/>
                <w:szCs w:val="24"/>
              </w:rPr>
            </w:pPr>
            <w:r>
              <w:rPr>
                <w:rFonts w:hint="eastAsia" w:cs="宋体"/>
                <w:color w:val="auto"/>
                <w:kern w:val="2"/>
                <w:sz w:val="24"/>
                <w:szCs w:val="24"/>
              </w:rPr>
              <w:t>施工</w:t>
            </w:r>
          </w:p>
          <w:p w14:paraId="61C284D2">
            <w:pPr>
              <w:adjustRightInd w:val="0"/>
              <w:snapToGrid w:val="0"/>
              <w:spacing w:before="0" w:beforeAutospacing="0" w:after="0" w:afterAutospacing="0"/>
              <w:jc w:val="center"/>
              <w:rPr>
                <w:rFonts w:hint="eastAsia" w:cs="宋体"/>
                <w:bCs/>
                <w:color w:val="FF0000"/>
                <w:kern w:val="2"/>
                <w:sz w:val="24"/>
                <w:szCs w:val="24"/>
              </w:rPr>
            </w:pPr>
            <w:r>
              <w:rPr>
                <w:rFonts w:hint="eastAsia" w:cs="宋体"/>
                <w:color w:val="auto"/>
                <w:kern w:val="2"/>
                <w:sz w:val="24"/>
                <w:szCs w:val="24"/>
              </w:rPr>
              <w:t>期</w:t>
            </w:r>
            <w:r>
              <w:rPr>
                <w:rFonts w:hint="eastAsia" w:cs="宋体"/>
                <w:color w:val="auto"/>
                <w:kern w:val="2"/>
                <w:sz w:val="24"/>
                <w:szCs w:val="24"/>
                <w:lang w:eastAsia="zh-CN"/>
              </w:rPr>
              <w:t>生态环境影响分析</w:t>
            </w:r>
          </w:p>
        </w:tc>
        <w:tc>
          <w:tcPr>
            <w:tcW w:w="8359" w:type="dxa"/>
            <w:vAlign w:val="center"/>
          </w:tcPr>
          <w:p w14:paraId="78181F5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FF0000"/>
                <w:sz w:val="24"/>
                <w:szCs w:val="24"/>
                <w:lang w:eastAsia="zh-CN"/>
              </w:rPr>
            </w:pPr>
            <w:r>
              <w:rPr>
                <w:rFonts w:hint="eastAsia" w:ascii="宋体" w:hAnsi="宋体" w:eastAsia="宋体" w:cs="宋体"/>
                <w:color w:val="auto"/>
                <w:sz w:val="24"/>
                <w:szCs w:val="24"/>
                <w:lang w:eastAsia="zh-CN"/>
              </w:rPr>
              <w:t>本项目施工期为12个月，主要施工内容包括新建DN2600雨水管道（巴陵路段顶管施工1450m、新天地段开挖埋管施工220m）、新建排水管沟1110m、排水管沟清淤1350m</w:t>
            </w:r>
            <w:r>
              <w:rPr>
                <w:rFonts w:hint="eastAsia" w:ascii="宋体" w:hAnsi="宋体" w:cs="宋体"/>
                <w:color w:val="auto"/>
                <w:sz w:val="24"/>
                <w:szCs w:val="24"/>
                <w:lang w:eastAsia="zh-CN"/>
              </w:rPr>
              <w:t>（分布在城市多处）</w:t>
            </w:r>
            <w:r>
              <w:rPr>
                <w:rFonts w:hint="eastAsia" w:ascii="宋体" w:hAnsi="宋体" w:eastAsia="宋体" w:cs="宋体"/>
                <w:color w:val="auto"/>
                <w:sz w:val="24"/>
                <w:szCs w:val="24"/>
                <w:lang w:eastAsia="zh-CN"/>
              </w:rPr>
              <w:t>、新建给水管道99480m（开挖</w:t>
            </w:r>
            <w:r>
              <w:rPr>
                <w:rFonts w:hint="eastAsia" w:ascii="宋体" w:hAnsi="宋体" w:cs="宋体"/>
                <w:color w:val="auto"/>
                <w:sz w:val="24"/>
                <w:szCs w:val="24"/>
                <w:lang w:eastAsia="zh-CN"/>
              </w:rPr>
              <w:t>和顶管</w:t>
            </w:r>
            <w:r>
              <w:rPr>
                <w:rFonts w:hint="eastAsia" w:ascii="宋体" w:hAnsi="宋体" w:eastAsia="宋体" w:cs="宋体"/>
                <w:color w:val="auto"/>
                <w:sz w:val="24"/>
                <w:szCs w:val="24"/>
                <w:lang w:eastAsia="zh-CN"/>
              </w:rPr>
              <w:t>施工）以及配套检查井、分流井、加压泵站等附属构筑物施工。施工期对生态环境的影响主要体现在以下几个方面。</w:t>
            </w:r>
          </w:p>
          <w:p w14:paraId="14BB8FD4">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eastAsia="宋体" w:cs="宋体"/>
                <w:b/>
                <w:bCs/>
                <w:color w:val="auto"/>
                <w:sz w:val="24"/>
                <w:szCs w:val="24"/>
                <w:lang w:eastAsia="zh-CN"/>
              </w:rPr>
            </w:pPr>
            <w:r>
              <w:rPr>
                <w:rFonts w:hint="eastAsia" w:ascii="宋体" w:hAnsi="宋体" w:eastAsia="宋体" w:cs="宋体"/>
                <w:b/>
                <w:bCs/>
                <w:color w:val="auto"/>
                <w:sz w:val="24"/>
                <w:szCs w:val="24"/>
                <w:lang w:eastAsia="zh-CN"/>
              </w:rPr>
              <w:t>1、施工期生态环境影响分析</w:t>
            </w:r>
          </w:p>
          <w:p w14:paraId="3E3D4AF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工程施工期的影响主要通过施工扰动产生的，属于直接影响，而且影响性质属于负面的。根据识别，项目施工期对环境生态的各个方面均会产生不利影响，其中对水土流失等方面的影响尤为突出，即工程建设将会降低植被覆盖度，加剧水土流失，改变土地利用方式和景观。</w:t>
            </w:r>
          </w:p>
          <w:p w14:paraId="2FDB172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（1）对土地利用及植被的影响分析</w:t>
            </w:r>
          </w:p>
          <w:p w14:paraId="1D2934A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①对土地利用的影响</w:t>
            </w:r>
          </w:p>
          <w:p w14:paraId="5A18A76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本项目</w:t>
            </w:r>
            <w:r>
              <w:rPr>
                <w:rFonts w:hint="eastAsia" w:ascii="宋体" w:hAnsi="宋体" w:cs="宋体"/>
                <w:color w:val="auto"/>
                <w:sz w:val="24"/>
                <w:szCs w:val="24"/>
                <w:lang w:val="en-US" w:eastAsia="zh-CN"/>
              </w:rPr>
              <w:t>均为管道工程，且为改造项目，</w:t>
            </w:r>
            <w:r>
              <w:rPr>
                <w:rFonts w:hint="eastAsia" w:ascii="宋体" w:hAnsi="宋体" w:eastAsia="宋体" w:cs="宋体"/>
                <w:color w:val="auto"/>
                <w:sz w:val="24"/>
                <w:szCs w:val="24"/>
                <w:lang w:eastAsia="zh-CN"/>
              </w:rPr>
              <w:t>不新增永久占地，临时占地共3.0万m</w:t>
            </w:r>
            <w:r>
              <w:rPr>
                <w:rFonts w:hint="eastAsia" w:ascii="宋体" w:hAnsi="宋体" w:cs="宋体"/>
                <w:color w:val="auto"/>
                <w:sz w:val="24"/>
                <w:szCs w:val="24"/>
                <w:vertAlign w:val="superscript"/>
                <w:lang w:val="en-US" w:eastAsia="zh-CN"/>
              </w:rPr>
              <w:t>2</w:t>
            </w:r>
            <w:r>
              <w:rPr>
                <w:rFonts w:hint="eastAsia" w:ascii="宋体" w:hAnsi="宋体" w:eastAsia="宋体" w:cs="宋体"/>
                <w:color w:val="auto"/>
                <w:sz w:val="24"/>
                <w:szCs w:val="24"/>
                <w:lang w:eastAsia="zh-CN"/>
              </w:rPr>
              <w:t>（约45亩），其中防洪排涝工程临时占地2.0万m</w:t>
            </w:r>
            <w:r>
              <w:rPr>
                <w:rFonts w:hint="eastAsia" w:ascii="宋体" w:hAnsi="宋体" w:cs="宋体"/>
                <w:color w:val="auto"/>
                <w:sz w:val="24"/>
                <w:szCs w:val="24"/>
                <w:vertAlign w:val="superscript"/>
                <w:lang w:val="en-US" w:eastAsia="zh-CN"/>
              </w:rPr>
              <w:t>2</w:t>
            </w:r>
            <w:r>
              <w:rPr>
                <w:rFonts w:hint="eastAsia" w:ascii="宋体" w:hAnsi="宋体" w:eastAsia="宋体" w:cs="宋体"/>
                <w:color w:val="auto"/>
                <w:sz w:val="24"/>
                <w:szCs w:val="24"/>
                <w:lang w:eastAsia="zh-CN"/>
              </w:rPr>
              <w:t>，给水工程临时占地1.0万m</w:t>
            </w:r>
            <w:r>
              <w:rPr>
                <w:rFonts w:hint="eastAsia" w:ascii="宋体" w:hAnsi="宋体" w:cs="宋体"/>
                <w:color w:val="auto"/>
                <w:sz w:val="24"/>
                <w:szCs w:val="24"/>
                <w:vertAlign w:val="superscript"/>
                <w:lang w:val="en-US" w:eastAsia="zh-CN"/>
              </w:rPr>
              <w:t>2</w:t>
            </w:r>
            <w:r>
              <w:rPr>
                <w:rFonts w:hint="eastAsia" w:ascii="宋体" w:hAnsi="宋体" w:eastAsia="宋体" w:cs="宋体"/>
                <w:color w:val="auto"/>
                <w:sz w:val="24"/>
                <w:szCs w:val="24"/>
                <w:lang w:eastAsia="zh-CN"/>
              </w:rPr>
              <w:t>。临时占地类型主要为现有道路、人行道、道路沿线空闲地、村内空地及田间路边等，不占用永久基本农田。临时占地施工期主要用途为管槽开挖、顶管工作井/接收井施工、临时堆土、施工便道、施工营地及材料堆放等。</w:t>
            </w:r>
          </w:p>
          <w:p w14:paraId="519B04F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管道沿线临时占地施工期间，地表植被和土壤结构将受到一定程度的扰动。管沟开挖将破坏原有地表覆盖层，施工机械碾压将导致土壤孔隙度下降、渗透性减弱。根据同类管网工程施工经验，管线施工带地表扰动宽度一般为</w:t>
            </w:r>
            <w:r>
              <w:rPr>
                <w:rFonts w:hint="default" w:ascii="Times New Roman" w:hAnsi="Times New Roman" w:eastAsia="宋体" w:cs="Times New Roman"/>
                <w:color w:val="auto"/>
                <w:sz w:val="24"/>
                <w:szCs w:val="24"/>
                <w:lang w:eastAsia="zh-CN"/>
              </w:rPr>
              <w:t>3~5m</w:t>
            </w:r>
            <w:r>
              <w:rPr>
                <w:rFonts w:hint="eastAsia" w:ascii="宋体" w:hAnsi="宋体" w:eastAsia="宋体" w:cs="宋体"/>
                <w:color w:val="auto"/>
                <w:sz w:val="24"/>
                <w:szCs w:val="24"/>
                <w:lang w:eastAsia="zh-CN"/>
              </w:rPr>
              <w:t>（开挖段）或工作井周边一定范围（顶管段），施工结束后通过土地整治和植被恢复，临时占地的原有功能可逐步恢复。施工期临时占地对土地利用的总体影响较小，且是短期的、可逆的。</w:t>
            </w:r>
          </w:p>
          <w:p w14:paraId="4455D3A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cs="宋体"/>
                <w:color w:val="auto"/>
                <w:sz w:val="24"/>
                <w:szCs w:val="24"/>
                <w:lang w:eastAsia="zh-CN"/>
              </w:rPr>
              <w:t>②对植被的影响</w:t>
            </w:r>
          </w:p>
          <w:p w14:paraId="61C0D7F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评价区植被类型以城镇绿化植被和农田植被为主，林地面积占比27.13%，主要为樟树、苦槠、马尾松等人工林。本项目临时占地涉及的植被主要为道路绿化带、村边杂草灌丛及少量农田作物，不涉及珍稀濒危保护植物。</w:t>
            </w:r>
          </w:p>
          <w:p w14:paraId="75556F8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施工期间，管沟开挖、临时堆土、施工机械行驶等将直接破坏占地范围内的地表植被，造成生物量损失。根据估算，临时占地范围内的植被生物量损失</w:t>
            </w:r>
            <w:r>
              <w:rPr>
                <w:rFonts w:hint="eastAsia" w:ascii="宋体" w:hAnsi="宋体" w:cs="宋体"/>
                <w:color w:val="auto"/>
                <w:sz w:val="24"/>
                <w:szCs w:val="24"/>
                <w:lang w:eastAsia="zh-CN"/>
              </w:rPr>
              <w:t>少</w:t>
            </w:r>
            <w:r>
              <w:rPr>
                <w:rFonts w:hint="eastAsia" w:ascii="宋体" w:hAnsi="宋体" w:eastAsia="宋体" w:cs="宋体"/>
                <w:color w:val="auto"/>
                <w:sz w:val="24"/>
                <w:szCs w:val="24"/>
                <w:lang w:eastAsia="zh-CN"/>
              </w:rPr>
              <w:t>。施工扬尘附着在植物叶片表面，可能影响其光合作用效率；施工人员活动可能对周围植被造成踩踏和折损。</w:t>
            </w:r>
          </w:p>
          <w:p w14:paraId="605A842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但由于本工程呈线状分布，临时占地分散，单个施工点面积较小，施工结束后将及时进行土地复垦和植被恢复，可根据原地类性质恢复其原有植被或进行补植绿化。植被恢复后，区域植被覆盖度可逐步恢复至施工前水平。因此，施工期对植被的影响是局部的、暂时的，不会改变区域植物区系组成和植被类型结构。</w:t>
            </w:r>
          </w:p>
          <w:p w14:paraId="4B7B03F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2</w:t>
            </w:r>
            <w:r>
              <w:rPr>
                <w:rFonts w:hint="eastAsia" w:ascii="宋体" w:hAnsi="宋体" w:cs="宋体"/>
                <w:color w:val="auto"/>
                <w:sz w:val="24"/>
                <w:szCs w:val="24"/>
                <w:lang w:eastAsia="zh-CN"/>
              </w:rPr>
              <w:t>）</w:t>
            </w:r>
            <w:r>
              <w:rPr>
                <w:rFonts w:hint="eastAsia" w:ascii="宋体" w:hAnsi="宋体" w:eastAsia="宋体" w:cs="宋体"/>
                <w:color w:val="auto"/>
                <w:sz w:val="24"/>
                <w:szCs w:val="24"/>
                <w:lang w:eastAsia="zh-CN"/>
              </w:rPr>
              <w:t>对陆生动物的影响分析</w:t>
            </w:r>
          </w:p>
          <w:p w14:paraId="6D69558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评价区位于城市建成区及城乡接合部，人为活动频繁，大型野生动物已不存在，陆生动物主要为适应人类干扰的常见种类，包括小型啮齿类（如褐家鼠、小家鼠）、常见鸟类（如麻雀、喜鹊、八哥）、爬行类（如壁虎）及昆虫类等，无珍稀濒危野生动物集中栖息地。</w:t>
            </w:r>
          </w:p>
          <w:p w14:paraId="0CE407C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施工期间，施工机械噪声、人员活动及临时占地将对上述动物的活动产生一定的惊扰效应，迫使部分动物向施工区外围迁移。但这种影响仅局限于施工期，且评价区周边存在大量可供动物迁移的替代生境（如周边林地、农田及荒地等），动物的迁移和扩散能力较强，不会导致种群数量明显下降。施工结束后，随着植被恢复和人为干扰减弱，动物将逐渐回迁至原栖息地。因此，施工期对陆生动物的影响是可接受的。</w:t>
            </w:r>
          </w:p>
          <w:p w14:paraId="677ECA1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（3）对水生生态的影响分析</w:t>
            </w:r>
          </w:p>
          <w:p w14:paraId="1D58B72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本项目防洪排涝工程新建DN2600雨水管道经固定堰分流井排入王家河，施工期对水生生态的影响主要体现在以下方面：</w:t>
            </w:r>
          </w:p>
          <w:p w14:paraId="29299AD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①顶管施工对水体的影响：巴陵路段DN2600雨水管道采用顶管施工，</w:t>
            </w:r>
            <w:r>
              <w:rPr>
                <w:rFonts w:hint="eastAsia" w:ascii="宋体" w:hAnsi="宋体" w:cs="宋体"/>
                <w:color w:val="auto"/>
                <w:sz w:val="24"/>
                <w:szCs w:val="24"/>
                <w:lang w:eastAsia="zh-CN"/>
              </w:rPr>
              <w:t>若控制不好，</w:t>
            </w:r>
            <w:r>
              <w:rPr>
                <w:rFonts w:hint="eastAsia" w:ascii="宋体" w:hAnsi="宋体" w:eastAsia="宋体" w:cs="宋体"/>
                <w:color w:val="auto"/>
                <w:sz w:val="24"/>
                <w:szCs w:val="24"/>
                <w:lang w:eastAsia="zh-CN"/>
              </w:rPr>
              <w:t>顶管施工过程中若泥浆泄漏可能对水体造成污染，需加强泥浆防渗和泄漏监控措施。</w:t>
            </w:r>
          </w:p>
          <w:p w14:paraId="413BF4A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②基坑降水对地下水的影响：施工期地下水位较高的区域需进行基坑降水，抽排的地下水经沉淀后排入市政雨水管网，对周边地下水水位影响较小，不会造成区域性地下水位下降。</w:t>
            </w:r>
          </w:p>
          <w:p w14:paraId="199E344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总体而言，施工期对水生生态的影响是暂时的，采取合理的施工方式和保护措施后，影响可控制在可接受范围内。项目运行期不向水体排放污染物，不会对王家河湿地生态功能造成持续性影响。</w:t>
            </w:r>
          </w:p>
          <w:p w14:paraId="2D95012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（4）水土流失影响分析</w:t>
            </w:r>
          </w:p>
          <w:p w14:paraId="23A5AA4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本项目施工过程中，管沟开挖、临时堆土、施工便道建设等活动将扰动地表，破坏原有植被覆盖层和土壤结构，在雨季或强降雨条件下可能引发水土流失。</w:t>
            </w:r>
          </w:p>
          <w:p w14:paraId="7F2251A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根据同类管网工程经验，施工期水土流失主要发生在管沟开挖区和临时堆土场。由于施工期短（12个月），且项目区域不属于湖南省水土流失重点预防区和治理区，若施工期避开雨季集中作业，并采取临时苫盖、截排水沟、临时拦挡等水土保持措施，新增水土流失量可控制在较小范围内。水土流失防治重点区域为管线工程区和临时堆土场，重点防治时段为主体工程施工期。</w:t>
            </w:r>
          </w:p>
          <w:p w14:paraId="21793B5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（5）对王家河湿地的影响分析</w:t>
            </w:r>
          </w:p>
          <w:p w14:paraId="3552846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王家河属于一般湿地，巴陵路段新建雨水管道终点排入王家河。施工期对王家河湿地的影响主要包括：</w:t>
            </w:r>
          </w:p>
          <w:p w14:paraId="030FDF4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①施工期若管理不善，施工泥浆、废弃土方等进入水体可能造成水质污染，进而影响湿地生态功能。</w:t>
            </w:r>
          </w:p>
          <w:p w14:paraId="05A0980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②顶管施工工作井若位于湿地保护范围内，将临时占用湿地植被，施工结束后需及时恢复。</w:t>
            </w:r>
          </w:p>
          <w:p w14:paraId="17A9888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③运营期雨水管道将收集区域雨水后排入王家河，但本项目改造后排水能力提升，雨水经管道收集后排放，不会向王家河排放污染物，对湿地生态功能无不利影响。</w:t>
            </w:r>
          </w:p>
          <w:p w14:paraId="2461429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施工期间应严格控制施工范围，严禁在湿地保护范围内设置临时堆土场、施工营地等设施，顶管工作井施工完毕后及时恢复地表原貌，落实湿地生态保护措施。</w:t>
            </w:r>
          </w:p>
          <w:p w14:paraId="39FBA322">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eastAsia="宋体" w:cs="宋体"/>
                <w:b/>
                <w:bCs/>
                <w:color w:val="auto"/>
                <w:sz w:val="24"/>
                <w:szCs w:val="24"/>
                <w:lang w:eastAsia="zh-CN"/>
              </w:rPr>
            </w:pPr>
            <w:r>
              <w:rPr>
                <w:rFonts w:hint="eastAsia" w:ascii="宋体" w:hAnsi="宋体" w:eastAsia="宋体" w:cs="宋体"/>
                <w:b/>
                <w:bCs/>
                <w:color w:val="auto"/>
                <w:sz w:val="24"/>
                <w:szCs w:val="24"/>
                <w:lang w:eastAsia="zh-CN"/>
              </w:rPr>
              <w:t>2、施工期水环境影响分析</w:t>
            </w:r>
          </w:p>
          <w:p w14:paraId="06A66AF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（1）施工废水</w:t>
            </w:r>
          </w:p>
          <w:p w14:paraId="3EDF717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施工废水主要包括车辆冲洗废水、顶管泥浆水、基坑降排水及管道试压废水。</w:t>
            </w:r>
          </w:p>
          <w:p w14:paraId="1BAEDF1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①车辆冲洗废水：施工车辆进出施工场地时需进行轮胎冲洗，冲洗废水中含有悬浮物（SS）和少量石油类。施工营地设置隔油池+沉淀池（总容积8m³/个），冲洗废水经隔油沉淀处理后回用于洒水降尘和车辆冲洗，不外排。</w:t>
            </w:r>
          </w:p>
          <w:p w14:paraId="5FE30FA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②顶管泥浆水：巴陵路段1450m采用泥水平衡顶管施工，顶管掘进过程中会产生废弃泥浆。根据同类工程经验，顶管每推进1米约产生25立方米的废弃泥浆，本工程顶管施工产生的废弃泥浆量约3.6万m³。泥浆经泥水分离系统处理后，尾水循环利用，固化物外运处置，不得直接排入周边水体。泥浆处理应优化絮凝剂配比，提高脱水效率，减少泥浆存放时间，防止泥浆溢流污染环境。</w:t>
            </w:r>
          </w:p>
          <w:p w14:paraId="7E593EC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③基坑降排水：顶管工作井及开挖管槽施工过程中的基坑降水，主要含悬浮物，经沉淀池沉淀后排入市政雨水管网。</w:t>
            </w:r>
          </w:p>
          <w:p w14:paraId="11B3A10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④管道试压废水：雨水管道闭水试验和给水管道水压试验产生的废水，主要含少量悬浮物，经临时沉淀池沉淀后用于洒水降尘或排入市政雨水管网。</w:t>
            </w:r>
          </w:p>
          <w:p w14:paraId="5AB1B3C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lang w:eastAsia="zh-CN"/>
              </w:rPr>
              <w:fldChar w:fldCharType="begin"/>
            </w:r>
            <w:r>
              <w:rPr>
                <w:rFonts w:hint="eastAsia" w:ascii="宋体" w:hAnsi="宋体" w:eastAsia="宋体" w:cs="宋体"/>
                <w:color w:val="auto"/>
                <w:sz w:val="24"/>
                <w:szCs w:val="24"/>
                <w:lang w:eastAsia="zh-CN"/>
              </w:rPr>
              <w:instrText xml:space="preserve"> = 5 \* GB3 \* MERGEFORMAT </w:instrText>
            </w:r>
            <w:r>
              <w:rPr>
                <w:rFonts w:hint="eastAsia" w:ascii="宋体" w:hAnsi="宋体" w:eastAsia="宋体" w:cs="宋体"/>
                <w:color w:val="auto"/>
                <w:sz w:val="24"/>
                <w:szCs w:val="24"/>
                <w:lang w:eastAsia="zh-CN"/>
              </w:rPr>
              <w:fldChar w:fldCharType="separate"/>
            </w:r>
            <w:r>
              <w:t>⑤</w:t>
            </w:r>
            <w:r>
              <w:rPr>
                <w:rFonts w:hint="eastAsia" w:ascii="宋体" w:hAnsi="宋体" w:eastAsia="宋体" w:cs="宋体"/>
                <w:color w:val="auto"/>
                <w:sz w:val="24"/>
                <w:szCs w:val="24"/>
                <w:lang w:eastAsia="zh-CN"/>
              </w:rPr>
              <w:fldChar w:fldCharType="end"/>
            </w:r>
            <w:r>
              <w:rPr>
                <w:rFonts w:hint="eastAsia" w:ascii="宋体" w:hAnsi="宋体" w:cs="宋体"/>
                <w:color w:val="auto"/>
                <w:sz w:val="24"/>
                <w:szCs w:val="24"/>
                <w:lang w:val="en-US" w:eastAsia="zh-CN"/>
              </w:rPr>
              <w:t>清淤废水：本项目排水管涵清淤安排在非雨季实施，采用干式清淤，清淤前对管道进行截流、抽排，管内无明显流动水体。清淤及现场脱水过程产生的少量废水主要为淤泥含水沥出液与机械脱水渗滤液，污染物以悬浮物（SS）为主。为避免泥沙直接进入管网造成二次堵塞及污染，清淤现场设置防渗收集沟与临时沉淀池，对沥出液与渗滤液进行统一收集、沉淀处理，处理后的废水全部回用于施工场地洒水降尘，不外排。淤泥经现场脱水干化后密闭外运，不产生淋溶径流与二次污染。因此，清淤废水不会对区域地表水环境、地下水及王家河一般湿地造成不利影响。</w:t>
            </w:r>
          </w:p>
          <w:p w14:paraId="0164045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（2）生活污水</w:t>
            </w:r>
          </w:p>
          <w:p w14:paraId="6E513FE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施工期总施工人数约120人，就近招聘，不集中提供食宿，生活污水依托沿线现有民房化粪池处理或租用民房的现有卫生设施处理，不单独排放，对地表水环境的影响较小。</w:t>
            </w:r>
          </w:p>
          <w:p w14:paraId="3218AE30">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eastAsia="宋体" w:cs="宋体"/>
                <w:b/>
                <w:bCs/>
                <w:color w:val="auto"/>
                <w:sz w:val="24"/>
                <w:szCs w:val="24"/>
                <w:lang w:eastAsia="zh-CN"/>
              </w:rPr>
            </w:pPr>
            <w:r>
              <w:rPr>
                <w:rFonts w:hint="eastAsia" w:ascii="宋体" w:hAnsi="宋体" w:eastAsia="宋体" w:cs="宋体"/>
                <w:b/>
                <w:bCs/>
                <w:color w:val="auto"/>
                <w:sz w:val="24"/>
                <w:szCs w:val="24"/>
                <w:lang w:eastAsia="zh-CN"/>
              </w:rPr>
              <w:t>3、施工期大气环境影响分析</w:t>
            </w:r>
          </w:p>
          <w:p w14:paraId="3CBC421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（1）施工扬尘</w:t>
            </w:r>
          </w:p>
          <w:p w14:paraId="65B48D2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施工扬尘是施工期主要大气污染物，主要产生于以下环节：</w:t>
            </w:r>
          </w:p>
          <w:p w14:paraId="154CF5D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①管沟开挖扬尘：给水管道和排水管道开挖段施工时，地表破除、土石方开挖、管槽清理等作业产生扬尘。开挖段总长约97.6km（给水工程99.48km中以开挖为主，排水工程新天地段开挖220m），施工点分散但线路较长，扬尘影响范围一般为施工点下风向</w:t>
            </w:r>
            <w:r>
              <w:rPr>
                <w:rFonts w:hint="default" w:ascii="Times New Roman" w:hAnsi="Times New Roman" w:eastAsia="宋体" w:cs="Times New Roman"/>
                <w:color w:val="auto"/>
                <w:sz w:val="24"/>
                <w:szCs w:val="24"/>
                <w:lang w:eastAsia="zh-CN"/>
              </w:rPr>
              <w:t>50~100</w:t>
            </w:r>
            <w:r>
              <w:rPr>
                <w:rFonts w:hint="eastAsia" w:ascii="宋体" w:hAnsi="宋体" w:eastAsia="宋体" w:cs="宋体"/>
                <w:color w:val="auto"/>
                <w:sz w:val="24"/>
                <w:szCs w:val="24"/>
                <w:lang w:eastAsia="zh-CN"/>
              </w:rPr>
              <w:t>m。</w:t>
            </w:r>
          </w:p>
          <w:p w14:paraId="4343222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②临时堆土扬尘：管沟开挖产生的临时堆土在风力作用下产生扬尘。裸露堆土表面含水率较低时，在大风天气下扬尘量较大。应采取防尘网遮盖、洒水保湿等措施控制。</w:t>
            </w:r>
          </w:p>
          <w:p w14:paraId="32DD5B5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③施工车辆运输扬尘：土方和材料运输车辆行驶过程产生道路扬尘，尤其运输车辆经过居民区路段时影响较大。施工场地出入口设置车辆冲洗平台，运输车辆密闭运输，施工道路定期洒水降尘，可有效减少运输扬尘。</w:t>
            </w:r>
          </w:p>
          <w:p w14:paraId="46C797E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④顶管工作井施工扬尘：顶管工作井开挖、混凝土浇筑等作业产生局部扬尘，由于工作井数量较少（共7座工作井、7座接收井），且周边设置围挡，影响范围有限。</w:t>
            </w:r>
          </w:p>
          <w:p w14:paraId="430D02E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根据同类市政管网工程施工经验，在采取围挡封闭、洒水降尘、防尘网覆盖等综合防尘措施后，施工扬尘对周边环境空气的影响可控制在可接受范围内，且随着施工期的结束而消失。</w:t>
            </w:r>
          </w:p>
          <w:p w14:paraId="0C5D41A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（2）施工机械及车辆尾气</w:t>
            </w:r>
          </w:p>
          <w:p w14:paraId="1B9EECA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施工机械（挖掘机、顶管机、自卸汽车等）和运输车辆以柴油和汽油为燃料，运行时排放CO、NOx、THC等尾气污染物。由于施工场地开阔、空气扩散条件较好，且施工机械数量有限（主要施工机械20余台），</w:t>
            </w:r>
            <w:r>
              <w:rPr>
                <w:rFonts w:hint="eastAsia" w:ascii="宋体" w:hAnsi="宋体" w:cs="宋体"/>
                <w:color w:val="auto"/>
                <w:sz w:val="24"/>
                <w:szCs w:val="24"/>
                <w:lang w:eastAsia="zh-CN"/>
              </w:rPr>
              <w:t>且分散于不同的施工现场，</w:t>
            </w:r>
            <w:r>
              <w:rPr>
                <w:rFonts w:hint="eastAsia" w:ascii="宋体" w:hAnsi="宋体" w:eastAsia="宋体" w:cs="宋体"/>
                <w:color w:val="auto"/>
                <w:sz w:val="24"/>
                <w:szCs w:val="24"/>
                <w:lang w:eastAsia="zh-CN"/>
              </w:rPr>
              <w:t>尾气污染物排放量较小，对区域环境空气质量影响不大。</w:t>
            </w:r>
          </w:p>
          <w:p w14:paraId="6E8136B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（3）清淤恶臭</w:t>
            </w:r>
          </w:p>
          <w:p w14:paraId="440DBDE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排水管沟清淤1350m，清淤过程中底泥中的有机物在缺氧条件下产生的硫化氢（H</w:t>
            </w:r>
            <w:r>
              <w:rPr>
                <w:rFonts w:hint="eastAsia" w:ascii="宋体" w:hAnsi="宋体" w:cs="宋体"/>
                <w:color w:val="auto"/>
                <w:sz w:val="24"/>
                <w:szCs w:val="24"/>
                <w:vertAlign w:val="subscript"/>
                <w:lang w:val="en-US" w:eastAsia="zh-CN"/>
              </w:rPr>
              <w:t>2</w:t>
            </w:r>
            <w:r>
              <w:rPr>
                <w:rFonts w:hint="eastAsia" w:ascii="宋体" w:hAnsi="宋体" w:eastAsia="宋体" w:cs="宋体"/>
                <w:color w:val="auto"/>
                <w:sz w:val="24"/>
                <w:szCs w:val="24"/>
                <w:lang w:eastAsia="zh-CN"/>
              </w:rPr>
              <w:t>S）、氨气（NH</w:t>
            </w:r>
            <w:r>
              <w:rPr>
                <w:rFonts w:hint="eastAsia" w:ascii="宋体" w:hAnsi="宋体" w:cs="宋体"/>
                <w:color w:val="auto"/>
                <w:sz w:val="24"/>
                <w:szCs w:val="24"/>
                <w:vertAlign w:val="subscript"/>
                <w:lang w:val="en-US" w:eastAsia="zh-CN"/>
              </w:rPr>
              <w:t>3</w:t>
            </w:r>
            <w:r>
              <w:rPr>
                <w:rFonts w:hint="eastAsia" w:ascii="宋体" w:hAnsi="宋体" w:eastAsia="宋体" w:cs="宋体"/>
                <w:color w:val="auto"/>
                <w:sz w:val="24"/>
                <w:szCs w:val="24"/>
                <w:lang w:eastAsia="zh-CN"/>
              </w:rPr>
              <w:t>）等恶臭气体可能对周边居民产生异味影响。</w:t>
            </w:r>
          </w:p>
          <w:p w14:paraId="19541A2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根据报告表底泥监测结果（表3.11），各监测点底泥pH值7.61</w:t>
            </w:r>
            <w:r>
              <w:rPr>
                <w:rFonts w:hint="default" w:ascii="Times New Roman" w:hAnsi="Times New Roman" w:eastAsia="宋体" w:cs="Times New Roman"/>
                <w:color w:val="auto"/>
                <w:sz w:val="24"/>
                <w:szCs w:val="24"/>
                <w:lang w:eastAsia="zh-CN"/>
              </w:rPr>
              <w:t>~</w:t>
            </w:r>
            <w:r>
              <w:rPr>
                <w:rFonts w:hint="eastAsia" w:ascii="宋体" w:hAnsi="宋体" w:eastAsia="宋体" w:cs="宋体"/>
                <w:color w:val="auto"/>
                <w:sz w:val="24"/>
                <w:szCs w:val="24"/>
                <w:lang w:eastAsia="zh-CN"/>
              </w:rPr>
              <w:t>7.82，砷、铜、铬、镉、铅、锌、镍等重金属含量均满足《土壤环境质量 农用地土壤污染风险管控标准（试行）》（GB15618-2018）要求，底泥未受重金属污染，恶臭强度相对较低。</w:t>
            </w:r>
          </w:p>
          <w:p w14:paraId="4A52D8C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清淤</w:t>
            </w:r>
            <w:r>
              <w:rPr>
                <w:rFonts w:hint="eastAsia" w:ascii="宋体" w:hAnsi="宋体" w:cs="宋体"/>
                <w:color w:val="auto"/>
                <w:sz w:val="24"/>
                <w:szCs w:val="24"/>
                <w:lang w:eastAsia="zh-CN"/>
              </w:rPr>
              <w:t>在晴天时间进行，减少废水产生量，同时</w:t>
            </w:r>
            <w:r>
              <w:rPr>
                <w:rFonts w:hint="eastAsia" w:ascii="宋体" w:hAnsi="宋体" w:eastAsia="宋体" w:cs="宋体"/>
                <w:color w:val="auto"/>
                <w:sz w:val="24"/>
                <w:szCs w:val="24"/>
                <w:lang w:eastAsia="zh-CN"/>
              </w:rPr>
              <w:t>采取分段施工、缩短暴露时间、淤泥及时清运等措施，必要时在清淤点周边喷洒除臭剂或设置围挡，减轻恶臭对周边居民的影响。清淤作业应避开居民集中活动时段（如早晚高峰、午休时间），减少扰民。</w:t>
            </w:r>
          </w:p>
          <w:p w14:paraId="464F2C70">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eastAsia="宋体" w:cs="宋体"/>
                <w:b/>
                <w:bCs/>
                <w:color w:val="auto"/>
                <w:sz w:val="24"/>
                <w:szCs w:val="24"/>
                <w:lang w:eastAsia="zh-CN"/>
              </w:rPr>
            </w:pPr>
            <w:r>
              <w:rPr>
                <w:rFonts w:hint="eastAsia" w:ascii="宋体" w:hAnsi="宋体" w:eastAsia="宋体" w:cs="宋体"/>
                <w:b/>
                <w:bCs/>
                <w:color w:val="auto"/>
                <w:sz w:val="24"/>
                <w:szCs w:val="24"/>
                <w:lang w:eastAsia="zh-CN"/>
              </w:rPr>
              <w:t>4、施工期声环境影响分析</w:t>
            </w:r>
          </w:p>
          <w:p w14:paraId="1568A27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（1）噪声源强分析</w:t>
            </w:r>
          </w:p>
          <w:p w14:paraId="34F2039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施工期主要噪声源包括施工机械和运输车辆，源强一般在70</w:t>
            </w:r>
            <w:r>
              <w:rPr>
                <w:rFonts w:hint="default" w:ascii="Times New Roman" w:hAnsi="Times New Roman" w:eastAsia="宋体" w:cs="Times New Roman"/>
                <w:color w:val="auto"/>
                <w:sz w:val="24"/>
                <w:szCs w:val="24"/>
                <w:lang w:eastAsia="zh-CN"/>
              </w:rPr>
              <w:t>~</w:t>
            </w:r>
            <w:r>
              <w:rPr>
                <w:rFonts w:hint="eastAsia" w:ascii="宋体" w:hAnsi="宋体" w:cs="宋体"/>
                <w:color w:val="auto"/>
                <w:sz w:val="24"/>
                <w:szCs w:val="24"/>
                <w:lang w:val="en-US" w:eastAsia="zh-CN"/>
              </w:rPr>
              <w:t>95</w:t>
            </w:r>
            <w:r>
              <w:rPr>
                <w:rFonts w:hint="eastAsia" w:ascii="宋体" w:hAnsi="宋体" w:eastAsia="宋体" w:cs="宋体"/>
                <w:color w:val="auto"/>
                <w:sz w:val="24"/>
                <w:szCs w:val="24"/>
                <w:lang w:eastAsia="zh-CN"/>
              </w:rPr>
              <w:t>dB(A)之间。主要施工机械噪声级如下表所示：</w:t>
            </w:r>
          </w:p>
          <w:p w14:paraId="39E0C00F">
            <w:pPr>
              <w:pStyle w:val="19"/>
              <w:keepNext/>
              <w:keepLines w:val="0"/>
              <w:pageBreakBefore w:val="0"/>
              <w:widowControl w:val="0"/>
              <w:kinsoku/>
              <w:wordWrap/>
              <w:overflowPunct/>
              <w:topLinePunct w:val="0"/>
              <w:autoSpaceDE/>
              <w:autoSpaceDN/>
              <w:bidi w:val="0"/>
              <w:adjustRightInd/>
              <w:snapToGrid/>
              <w:spacing w:before="0"/>
              <w:textAlignment w:val="auto"/>
              <w:rPr>
                <w:rFonts w:hint="default"/>
                <w:b w:val="0"/>
                <w:bCs/>
                <w:color w:val="auto"/>
                <w:lang w:val="en-US" w:eastAsia="zh-CN"/>
              </w:rPr>
            </w:pPr>
            <w:r>
              <w:rPr>
                <w:rFonts w:hint="eastAsia"/>
                <w:b w:val="0"/>
                <w:bCs/>
                <w:color w:val="auto"/>
                <w:lang w:val="en-US" w:eastAsia="zh-CN"/>
              </w:rPr>
              <w:t>表4-1  施工机械噪声源表</w:t>
            </w:r>
          </w:p>
          <w:tbl>
            <w:tblPr>
              <w:tblStyle w:val="9"/>
              <w:tblW w:w="8225"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5"/>
              <w:gridCol w:w="940"/>
              <w:gridCol w:w="2470"/>
              <w:gridCol w:w="2960"/>
              <w:gridCol w:w="1845"/>
              <w:gridCol w:w="5"/>
            </w:tblGrid>
            <w:tr w14:paraId="0EC2860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gridAfter w:val="1"/>
                <w:wAfter w:w="5" w:type="dxa"/>
                <w:trHeight w:val="0" w:hRule="atLeast"/>
                <w:jc w:val="center"/>
              </w:trPr>
              <w:tc>
                <w:tcPr>
                  <w:tcW w:w="945" w:type="dxa"/>
                  <w:gridSpan w:val="2"/>
                  <w:tcBorders>
                    <w:tl2br w:val="nil"/>
                    <w:tr2bl w:val="nil"/>
                  </w:tcBorders>
                  <w:shd w:val="clear" w:color="auto" w:fill="FFFFFF"/>
                  <w:vAlign w:val="center"/>
                </w:tcPr>
                <w:p w14:paraId="393D52EF">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b/>
                      <w:bCs/>
                      <w:i w:val="0"/>
                      <w:iCs w:val="0"/>
                      <w:color w:val="0F1115"/>
                      <w:sz w:val="22"/>
                      <w:szCs w:val="22"/>
                      <w:u w:val="none"/>
                    </w:rPr>
                  </w:pPr>
                  <w:r>
                    <w:rPr>
                      <w:rFonts w:hint="eastAsia" w:ascii="宋体" w:hAnsi="宋体" w:eastAsia="宋体" w:cs="宋体"/>
                      <w:b/>
                      <w:bCs/>
                      <w:i w:val="0"/>
                      <w:iCs w:val="0"/>
                      <w:color w:val="0F1115"/>
                      <w:kern w:val="0"/>
                      <w:sz w:val="22"/>
                      <w:szCs w:val="22"/>
                      <w:u w:val="none"/>
                      <w:lang w:val="en-US" w:eastAsia="zh-CN" w:bidi="ar"/>
                    </w:rPr>
                    <w:t>序号</w:t>
                  </w:r>
                </w:p>
              </w:tc>
              <w:tc>
                <w:tcPr>
                  <w:tcW w:w="2470" w:type="dxa"/>
                  <w:tcBorders>
                    <w:tl2br w:val="nil"/>
                    <w:tr2bl w:val="nil"/>
                  </w:tcBorders>
                  <w:shd w:val="clear" w:color="auto" w:fill="FFFFFF"/>
                  <w:vAlign w:val="center"/>
                </w:tcPr>
                <w:p w14:paraId="07455FBB">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b/>
                      <w:bCs/>
                      <w:i w:val="0"/>
                      <w:iCs w:val="0"/>
                      <w:color w:val="0F1115"/>
                      <w:sz w:val="22"/>
                      <w:szCs w:val="22"/>
                      <w:u w:val="none"/>
                    </w:rPr>
                  </w:pPr>
                  <w:r>
                    <w:rPr>
                      <w:rFonts w:hint="eastAsia" w:ascii="宋体" w:hAnsi="宋体" w:eastAsia="宋体" w:cs="宋体"/>
                      <w:b/>
                      <w:bCs/>
                      <w:i w:val="0"/>
                      <w:iCs w:val="0"/>
                      <w:color w:val="0F1115"/>
                      <w:kern w:val="0"/>
                      <w:sz w:val="22"/>
                      <w:szCs w:val="22"/>
                      <w:u w:val="none"/>
                      <w:lang w:val="en-US" w:eastAsia="zh-CN" w:bidi="ar"/>
                    </w:rPr>
                    <w:t>噪声源</w:t>
                  </w:r>
                </w:p>
              </w:tc>
              <w:tc>
                <w:tcPr>
                  <w:tcW w:w="2960" w:type="dxa"/>
                  <w:tcBorders>
                    <w:tl2br w:val="nil"/>
                    <w:tr2bl w:val="nil"/>
                  </w:tcBorders>
                  <w:shd w:val="clear" w:color="auto" w:fill="FFFFFF"/>
                  <w:vAlign w:val="center"/>
                </w:tcPr>
                <w:p w14:paraId="7BD90A6E">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b/>
                      <w:bCs/>
                      <w:i w:val="0"/>
                      <w:iCs w:val="0"/>
                      <w:color w:val="0F1115"/>
                      <w:sz w:val="22"/>
                      <w:szCs w:val="22"/>
                      <w:u w:val="none"/>
                    </w:rPr>
                  </w:pPr>
                  <w:r>
                    <w:rPr>
                      <w:rFonts w:hint="eastAsia" w:ascii="宋体" w:hAnsi="宋体" w:eastAsia="宋体" w:cs="宋体"/>
                      <w:b/>
                      <w:bCs/>
                      <w:i w:val="0"/>
                      <w:iCs w:val="0"/>
                      <w:color w:val="0F1115"/>
                      <w:kern w:val="0"/>
                      <w:sz w:val="22"/>
                      <w:szCs w:val="22"/>
                      <w:u w:val="none"/>
                      <w:lang w:val="en-US" w:eastAsia="zh-CN" w:bidi="ar"/>
                    </w:rPr>
                    <w:t>声级 dB(A)（距声源5m）</w:t>
                  </w:r>
                </w:p>
              </w:tc>
              <w:tc>
                <w:tcPr>
                  <w:tcW w:w="1845" w:type="dxa"/>
                  <w:tcBorders>
                    <w:tl2br w:val="nil"/>
                    <w:tr2bl w:val="nil"/>
                  </w:tcBorders>
                  <w:shd w:val="clear" w:color="auto" w:fill="FFFFFF"/>
                  <w:vAlign w:val="center"/>
                </w:tcPr>
                <w:p w14:paraId="45DB7F55">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b/>
                      <w:bCs/>
                      <w:i w:val="0"/>
                      <w:iCs w:val="0"/>
                      <w:color w:val="0F1115"/>
                      <w:sz w:val="22"/>
                      <w:szCs w:val="22"/>
                      <w:u w:val="none"/>
                    </w:rPr>
                  </w:pPr>
                  <w:r>
                    <w:rPr>
                      <w:rFonts w:hint="eastAsia" w:ascii="宋体" w:hAnsi="宋体" w:eastAsia="宋体" w:cs="宋体"/>
                      <w:b/>
                      <w:bCs/>
                      <w:i w:val="0"/>
                      <w:iCs w:val="0"/>
                      <w:color w:val="0F1115"/>
                      <w:kern w:val="0"/>
                      <w:sz w:val="22"/>
                      <w:szCs w:val="22"/>
                      <w:u w:val="none"/>
                      <w:lang w:val="en-US" w:eastAsia="zh-CN" w:bidi="ar"/>
                    </w:rPr>
                    <w:t>噪声特性</w:t>
                  </w:r>
                </w:p>
              </w:tc>
            </w:tr>
            <w:tr w14:paraId="0600290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gridBefore w:val="1"/>
                <w:wBefore w:w="5" w:type="dxa"/>
                <w:trHeight w:val="0" w:hRule="atLeast"/>
                <w:jc w:val="center"/>
              </w:trPr>
              <w:tc>
                <w:tcPr>
                  <w:tcW w:w="940" w:type="dxa"/>
                  <w:tcBorders>
                    <w:tl2br w:val="nil"/>
                    <w:tr2bl w:val="nil"/>
                  </w:tcBorders>
                  <w:shd w:val="clear" w:color="auto" w:fill="auto"/>
                  <w:noWrap/>
                  <w:vAlign w:val="center"/>
                </w:tcPr>
                <w:p w14:paraId="5F8CF34E">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2470" w:type="dxa"/>
                  <w:tcBorders>
                    <w:tl2br w:val="nil"/>
                    <w:tr2bl w:val="nil"/>
                  </w:tcBorders>
                  <w:shd w:val="clear" w:color="auto" w:fill="auto"/>
                  <w:noWrap/>
                  <w:vAlign w:val="center"/>
                </w:tcPr>
                <w:p w14:paraId="5AA91A66">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反铲挖掘机</w:t>
                  </w:r>
                </w:p>
              </w:tc>
              <w:tc>
                <w:tcPr>
                  <w:tcW w:w="2960" w:type="dxa"/>
                  <w:tcBorders>
                    <w:tl2br w:val="nil"/>
                    <w:tr2bl w:val="nil"/>
                  </w:tcBorders>
                  <w:shd w:val="clear" w:color="auto" w:fill="auto"/>
                  <w:noWrap/>
                  <w:vAlign w:val="center"/>
                </w:tcPr>
                <w:p w14:paraId="27EB16D5">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80~90</w:t>
                  </w:r>
                </w:p>
              </w:tc>
              <w:tc>
                <w:tcPr>
                  <w:tcW w:w="1850" w:type="dxa"/>
                  <w:gridSpan w:val="2"/>
                  <w:tcBorders>
                    <w:tl2br w:val="nil"/>
                    <w:tr2bl w:val="nil"/>
                  </w:tcBorders>
                  <w:shd w:val="clear" w:color="auto" w:fill="auto"/>
                  <w:noWrap/>
                  <w:vAlign w:val="center"/>
                </w:tcPr>
                <w:p w14:paraId="383AFF87">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间歇性</w:t>
                  </w:r>
                </w:p>
              </w:tc>
            </w:tr>
            <w:tr w14:paraId="401A500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gridBefore w:val="1"/>
                <w:wBefore w:w="5" w:type="dxa"/>
                <w:trHeight w:val="0" w:hRule="atLeast"/>
                <w:jc w:val="center"/>
              </w:trPr>
              <w:tc>
                <w:tcPr>
                  <w:tcW w:w="940" w:type="dxa"/>
                  <w:tcBorders>
                    <w:tl2br w:val="nil"/>
                    <w:tr2bl w:val="nil"/>
                  </w:tcBorders>
                  <w:shd w:val="clear" w:color="auto" w:fill="auto"/>
                  <w:noWrap/>
                  <w:vAlign w:val="center"/>
                </w:tcPr>
                <w:p w14:paraId="2B97CA11">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2470" w:type="dxa"/>
                  <w:tcBorders>
                    <w:tl2br w:val="nil"/>
                    <w:tr2bl w:val="nil"/>
                  </w:tcBorders>
                  <w:shd w:val="clear" w:color="auto" w:fill="auto"/>
                  <w:noWrap/>
                  <w:vAlign w:val="center"/>
                </w:tcPr>
                <w:p w14:paraId="6C0CE085">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顶管机（泥水平衡）</w:t>
                  </w:r>
                </w:p>
              </w:tc>
              <w:tc>
                <w:tcPr>
                  <w:tcW w:w="2960" w:type="dxa"/>
                  <w:tcBorders>
                    <w:tl2br w:val="nil"/>
                    <w:tr2bl w:val="nil"/>
                  </w:tcBorders>
                  <w:shd w:val="clear" w:color="auto" w:fill="auto"/>
                  <w:noWrap/>
                  <w:vAlign w:val="center"/>
                </w:tcPr>
                <w:p w14:paraId="2ED44EF0">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75~85</w:t>
                  </w:r>
                </w:p>
              </w:tc>
              <w:tc>
                <w:tcPr>
                  <w:tcW w:w="1850" w:type="dxa"/>
                  <w:gridSpan w:val="2"/>
                  <w:tcBorders>
                    <w:tl2br w:val="nil"/>
                    <w:tr2bl w:val="nil"/>
                  </w:tcBorders>
                  <w:shd w:val="clear" w:color="auto" w:fill="auto"/>
                  <w:noWrap/>
                  <w:vAlign w:val="center"/>
                </w:tcPr>
                <w:p w14:paraId="073A4D2B">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间歇性</w:t>
                  </w:r>
                </w:p>
              </w:tc>
            </w:tr>
            <w:tr w14:paraId="27962D8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gridBefore w:val="1"/>
                <w:wBefore w:w="5" w:type="dxa"/>
                <w:trHeight w:val="0" w:hRule="atLeast"/>
                <w:jc w:val="center"/>
              </w:trPr>
              <w:tc>
                <w:tcPr>
                  <w:tcW w:w="940" w:type="dxa"/>
                  <w:tcBorders>
                    <w:tl2br w:val="nil"/>
                    <w:tr2bl w:val="nil"/>
                  </w:tcBorders>
                  <w:shd w:val="clear" w:color="auto" w:fill="auto"/>
                  <w:noWrap/>
                  <w:vAlign w:val="center"/>
                </w:tcPr>
                <w:p w14:paraId="39F8936F">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2470" w:type="dxa"/>
                  <w:tcBorders>
                    <w:tl2br w:val="nil"/>
                    <w:tr2bl w:val="nil"/>
                  </w:tcBorders>
                  <w:shd w:val="clear" w:color="auto" w:fill="auto"/>
                  <w:noWrap/>
                  <w:vAlign w:val="center"/>
                </w:tcPr>
                <w:p w14:paraId="44962290">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旋挖钻机</w:t>
                  </w:r>
                </w:p>
              </w:tc>
              <w:tc>
                <w:tcPr>
                  <w:tcW w:w="2960" w:type="dxa"/>
                  <w:tcBorders>
                    <w:tl2br w:val="nil"/>
                    <w:tr2bl w:val="nil"/>
                  </w:tcBorders>
                  <w:shd w:val="clear" w:color="auto" w:fill="auto"/>
                  <w:noWrap/>
                  <w:vAlign w:val="center"/>
                </w:tcPr>
                <w:p w14:paraId="4315D5CE">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85~95</w:t>
                  </w:r>
                </w:p>
              </w:tc>
              <w:tc>
                <w:tcPr>
                  <w:tcW w:w="1850" w:type="dxa"/>
                  <w:gridSpan w:val="2"/>
                  <w:tcBorders>
                    <w:tl2br w:val="nil"/>
                    <w:tr2bl w:val="nil"/>
                  </w:tcBorders>
                  <w:shd w:val="clear" w:color="auto" w:fill="auto"/>
                  <w:noWrap/>
                  <w:vAlign w:val="center"/>
                </w:tcPr>
                <w:p w14:paraId="11163349">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间歇性</w:t>
                  </w:r>
                </w:p>
              </w:tc>
            </w:tr>
            <w:tr w14:paraId="007E766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gridBefore w:val="1"/>
                <w:wBefore w:w="5" w:type="dxa"/>
                <w:trHeight w:val="0" w:hRule="atLeast"/>
                <w:jc w:val="center"/>
              </w:trPr>
              <w:tc>
                <w:tcPr>
                  <w:tcW w:w="940" w:type="dxa"/>
                  <w:tcBorders>
                    <w:tl2br w:val="nil"/>
                    <w:tr2bl w:val="nil"/>
                  </w:tcBorders>
                  <w:shd w:val="clear" w:color="auto" w:fill="auto"/>
                  <w:noWrap/>
                  <w:vAlign w:val="center"/>
                </w:tcPr>
                <w:p w14:paraId="4EE8088E">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2470" w:type="dxa"/>
                  <w:tcBorders>
                    <w:tl2br w:val="nil"/>
                    <w:tr2bl w:val="nil"/>
                  </w:tcBorders>
                  <w:shd w:val="clear" w:color="auto" w:fill="auto"/>
                  <w:noWrap/>
                  <w:vAlign w:val="center"/>
                </w:tcPr>
                <w:p w14:paraId="1E604BF3">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自卸汽车</w:t>
                  </w:r>
                </w:p>
              </w:tc>
              <w:tc>
                <w:tcPr>
                  <w:tcW w:w="2960" w:type="dxa"/>
                  <w:tcBorders>
                    <w:tl2br w:val="nil"/>
                    <w:tr2bl w:val="nil"/>
                  </w:tcBorders>
                  <w:shd w:val="clear" w:color="auto" w:fill="auto"/>
                  <w:noWrap/>
                  <w:vAlign w:val="center"/>
                </w:tcPr>
                <w:p w14:paraId="0D0B8674">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75~85</w:t>
                  </w:r>
                </w:p>
              </w:tc>
              <w:tc>
                <w:tcPr>
                  <w:tcW w:w="1850" w:type="dxa"/>
                  <w:gridSpan w:val="2"/>
                  <w:tcBorders>
                    <w:tl2br w:val="nil"/>
                    <w:tr2bl w:val="nil"/>
                  </w:tcBorders>
                  <w:shd w:val="clear" w:color="auto" w:fill="auto"/>
                  <w:noWrap/>
                  <w:vAlign w:val="center"/>
                </w:tcPr>
                <w:p w14:paraId="351B0B29">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流动性</w:t>
                  </w:r>
                </w:p>
              </w:tc>
            </w:tr>
            <w:tr w14:paraId="64ECDE1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gridBefore w:val="1"/>
                <w:wBefore w:w="5" w:type="dxa"/>
                <w:trHeight w:val="0" w:hRule="atLeast"/>
                <w:jc w:val="center"/>
              </w:trPr>
              <w:tc>
                <w:tcPr>
                  <w:tcW w:w="940" w:type="dxa"/>
                  <w:tcBorders>
                    <w:tl2br w:val="nil"/>
                    <w:tr2bl w:val="nil"/>
                  </w:tcBorders>
                  <w:shd w:val="clear" w:color="auto" w:fill="auto"/>
                  <w:noWrap/>
                  <w:vAlign w:val="center"/>
                </w:tcPr>
                <w:p w14:paraId="1773A70B">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2470" w:type="dxa"/>
                  <w:tcBorders>
                    <w:tl2br w:val="nil"/>
                    <w:tr2bl w:val="nil"/>
                  </w:tcBorders>
                  <w:shd w:val="clear" w:color="auto" w:fill="auto"/>
                  <w:noWrap/>
                  <w:vAlign w:val="center"/>
                </w:tcPr>
                <w:p w14:paraId="36A751E6">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蛙式打夯机</w:t>
                  </w:r>
                </w:p>
              </w:tc>
              <w:tc>
                <w:tcPr>
                  <w:tcW w:w="2960" w:type="dxa"/>
                  <w:tcBorders>
                    <w:tl2br w:val="nil"/>
                    <w:tr2bl w:val="nil"/>
                  </w:tcBorders>
                  <w:shd w:val="clear" w:color="auto" w:fill="auto"/>
                  <w:noWrap/>
                  <w:vAlign w:val="center"/>
                </w:tcPr>
                <w:p w14:paraId="3AD336CC">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85~95</w:t>
                  </w:r>
                </w:p>
              </w:tc>
              <w:tc>
                <w:tcPr>
                  <w:tcW w:w="1850" w:type="dxa"/>
                  <w:gridSpan w:val="2"/>
                  <w:tcBorders>
                    <w:tl2br w:val="nil"/>
                    <w:tr2bl w:val="nil"/>
                  </w:tcBorders>
                  <w:shd w:val="clear" w:color="auto" w:fill="auto"/>
                  <w:noWrap/>
                  <w:vAlign w:val="center"/>
                </w:tcPr>
                <w:p w14:paraId="692F9592">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间歇性</w:t>
                  </w:r>
                </w:p>
              </w:tc>
            </w:tr>
            <w:tr w14:paraId="532B299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gridBefore w:val="1"/>
                <w:wBefore w:w="5" w:type="dxa"/>
                <w:trHeight w:val="0" w:hRule="atLeast"/>
                <w:jc w:val="center"/>
              </w:trPr>
              <w:tc>
                <w:tcPr>
                  <w:tcW w:w="940" w:type="dxa"/>
                  <w:tcBorders>
                    <w:tl2br w:val="nil"/>
                    <w:tr2bl w:val="nil"/>
                  </w:tcBorders>
                  <w:shd w:val="clear" w:color="auto" w:fill="auto"/>
                  <w:noWrap/>
                  <w:vAlign w:val="center"/>
                </w:tcPr>
                <w:p w14:paraId="5C4AC669">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2470" w:type="dxa"/>
                  <w:tcBorders>
                    <w:tl2br w:val="nil"/>
                    <w:tr2bl w:val="nil"/>
                  </w:tcBorders>
                  <w:shd w:val="clear" w:color="auto" w:fill="auto"/>
                  <w:noWrap/>
                  <w:vAlign w:val="center"/>
                </w:tcPr>
                <w:p w14:paraId="1DA85EC3">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插入式振捣器</w:t>
                  </w:r>
                </w:p>
              </w:tc>
              <w:tc>
                <w:tcPr>
                  <w:tcW w:w="2960" w:type="dxa"/>
                  <w:tcBorders>
                    <w:tl2br w:val="nil"/>
                    <w:tr2bl w:val="nil"/>
                  </w:tcBorders>
                  <w:shd w:val="clear" w:color="auto" w:fill="auto"/>
                  <w:noWrap/>
                  <w:vAlign w:val="center"/>
                </w:tcPr>
                <w:p w14:paraId="2F838631">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80~90</w:t>
                  </w:r>
                </w:p>
              </w:tc>
              <w:tc>
                <w:tcPr>
                  <w:tcW w:w="1850" w:type="dxa"/>
                  <w:gridSpan w:val="2"/>
                  <w:tcBorders>
                    <w:tl2br w:val="nil"/>
                    <w:tr2bl w:val="nil"/>
                  </w:tcBorders>
                  <w:shd w:val="clear" w:color="auto" w:fill="auto"/>
                  <w:noWrap/>
                  <w:vAlign w:val="center"/>
                </w:tcPr>
                <w:p w14:paraId="0A036996">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间歇性</w:t>
                  </w:r>
                </w:p>
              </w:tc>
            </w:tr>
            <w:tr w14:paraId="4DFA0D6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gridBefore w:val="1"/>
                <w:wBefore w:w="5" w:type="dxa"/>
                <w:trHeight w:val="0" w:hRule="atLeast"/>
                <w:jc w:val="center"/>
              </w:trPr>
              <w:tc>
                <w:tcPr>
                  <w:tcW w:w="940" w:type="dxa"/>
                  <w:tcBorders>
                    <w:tl2br w:val="nil"/>
                    <w:tr2bl w:val="nil"/>
                  </w:tcBorders>
                  <w:shd w:val="clear" w:color="auto" w:fill="auto"/>
                  <w:noWrap/>
                  <w:vAlign w:val="center"/>
                </w:tcPr>
                <w:p w14:paraId="034319C3">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2470" w:type="dxa"/>
                  <w:tcBorders>
                    <w:tl2br w:val="nil"/>
                    <w:tr2bl w:val="nil"/>
                  </w:tcBorders>
                  <w:shd w:val="clear" w:color="auto" w:fill="auto"/>
                  <w:noWrap/>
                  <w:vAlign w:val="center"/>
                </w:tcPr>
                <w:p w14:paraId="0B6B05E1">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潜水泵</w:t>
                  </w:r>
                </w:p>
              </w:tc>
              <w:tc>
                <w:tcPr>
                  <w:tcW w:w="2960" w:type="dxa"/>
                  <w:tcBorders>
                    <w:tl2br w:val="nil"/>
                    <w:tr2bl w:val="nil"/>
                  </w:tcBorders>
                  <w:shd w:val="clear" w:color="auto" w:fill="auto"/>
                  <w:noWrap/>
                  <w:vAlign w:val="center"/>
                </w:tcPr>
                <w:p w14:paraId="1A226E1D">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default" w:ascii="Times New Roman" w:hAnsi="Times New Roman" w:eastAsia="宋体" w:cs="Times New Roman"/>
                      <w:i w:val="0"/>
                      <w:iCs w:val="0"/>
                      <w:color w:val="000000"/>
                      <w:sz w:val="22"/>
                      <w:szCs w:val="22"/>
                      <w:u w:val="none"/>
                    </w:rPr>
                  </w:pPr>
                  <w:r>
                    <w:rPr>
                      <w:rFonts w:hint="default" w:ascii="Times New Roman" w:hAnsi="Times New Roman" w:eastAsia="宋体" w:cs="Times New Roman"/>
                      <w:i w:val="0"/>
                      <w:iCs w:val="0"/>
                      <w:color w:val="000000"/>
                      <w:kern w:val="0"/>
                      <w:sz w:val="22"/>
                      <w:szCs w:val="22"/>
                      <w:u w:val="none"/>
                      <w:lang w:val="en-US" w:eastAsia="zh-CN" w:bidi="ar"/>
                    </w:rPr>
                    <w:t>70~80</w:t>
                  </w:r>
                </w:p>
              </w:tc>
              <w:tc>
                <w:tcPr>
                  <w:tcW w:w="1850" w:type="dxa"/>
                  <w:gridSpan w:val="2"/>
                  <w:tcBorders>
                    <w:tl2br w:val="nil"/>
                    <w:tr2bl w:val="nil"/>
                  </w:tcBorders>
                  <w:shd w:val="clear" w:color="auto" w:fill="auto"/>
                  <w:noWrap/>
                  <w:vAlign w:val="center"/>
                </w:tcPr>
                <w:p w14:paraId="56ABEDAD">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间歇性</w:t>
                  </w:r>
                </w:p>
              </w:tc>
            </w:tr>
          </w:tbl>
          <w:p w14:paraId="7534509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（2）噪声影响预测</w:t>
            </w:r>
          </w:p>
          <w:p w14:paraId="38EDEEE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采用点声源衰减模式预测施工噪声对敏感点的影响：</w:t>
            </w:r>
          </w:p>
          <w:p w14:paraId="69C21AD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L(r)=L(r</w:t>
            </w:r>
            <w:r>
              <w:rPr>
                <w:rFonts w:hint="eastAsia" w:ascii="宋体" w:hAnsi="宋体" w:cs="宋体"/>
                <w:color w:val="auto"/>
                <w:sz w:val="24"/>
                <w:szCs w:val="24"/>
                <w:vertAlign w:val="subscript"/>
                <w:lang w:val="en-US" w:eastAsia="zh-CN"/>
              </w:rPr>
              <w:t>0</w:t>
            </w:r>
            <w:r>
              <w:rPr>
                <w:rFonts w:hint="eastAsia" w:ascii="宋体" w:hAnsi="宋体" w:eastAsia="宋体" w:cs="宋体"/>
                <w:color w:val="auto"/>
                <w:sz w:val="24"/>
                <w:szCs w:val="24"/>
                <w:lang w:eastAsia="zh-CN"/>
              </w:rPr>
              <w:t>)-20lg(r/r</w:t>
            </w:r>
            <w:r>
              <w:rPr>
                <w:rFonts w:hint="eastAsia" w:ascii="宋体" w:hAnsi="宋体" w:cs="宋体"/>
                <w:color w:val="auto"/>
                <w:sz w:val="24"/>
                <w:szCs w:val="24"/>
                <w:vertAlign w:val="subscript"/>
                <w:lang w:val="en-US" w:eastAsia="zh-CN"/>
              </w:rPr>
              <w:t>0</w:t>
            </w:r>
            <w:r>
              <w:rPr>
                <w:rFonts w:hint="eastAsia" w:ascii="宋体" w:hAnsi="宋体" w:eastAsia="宋体" w:cs="宋体"/>
                <w:color w:val="auto"/>
                <w:sz w:val="24"/>
                <w:szCs w:val="24"/>
                <w:lang w:eastAsia="zh-CN"/>
              </w:rPr>
              <w:t>)</w:t>
            </w:r>
          </w:p>
          <w:p w14:paraId="318E09A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式中：L(r)——距声源r处的声级，dB(A)；L(r</w:t>
            </w:r>
            <w:r>
              <w:rPr>
                <w:rFonts w:hint="eastAsia" w:ascii="宋体" w:hAnsi="宋体" w:cs="宋体"/>
                <w:color w:val="auto"/>
                <w:sz w:val="24"/>
                <w:szCs w:val="24"/>
                <w:vertAlign w:val="subscript"/>
                <w:lang w:val="en-US" w:eastAsia="zh-CN"/>
              </w:rPr>
              <w:t>0</w:t>
            </w:r>
            <w:r>
              <w:rPr>
                <w:rFonts w:hint="eastAsia" w:ascii="宋体" w:hAnsi="宋体" w:eastAsia="宋体" w:cs="宋体"/>
                <w:color w:val="auto"/>
                <w:sz w:val="24"/>
                <w:szCs w:val="24"/>
                <w:lang w:eastAsia="zh-CN"/>
              </w:rPr>
              <w:t>)——距声源r</w:t>
            </w:r>
            <w:r>
              <w:rPr>
                <w:rFonts w:hint="eastAsia" w:ascii="宋体" w:hAnsi="宋体" w:cs="宋体"/>
                <w:color w:val="auto"/>
                <w:sz w:val="24"/>
                <w:szCs w:val="24"/>
                <w:vertAlign w:val="subscript"/>
                <w:lang w:val="en-US" w:eastAsia="zh-CN"/>
              </w:rPr>
              <w:t>0</w:t>
            </w:r>
            <w:r>
              <w:rPr>
                <w:rFonts w:hint="eastAsia" w:ascii="宋体" w:hAnsi="宋体" w:eastAsia="宋体" w:cs="宋体"/>
                <w:color w:val="auto"/>
                <w:sz w:val="24"/>
                <w:szCs w:val="24"/>
                <w:lang w:eastAsia="zh-CN"/>
              </w:rPr>
              <w:t>处的声级，dB(A)。</w:t>
            </w:r>
          </w:p>
          <w:p w14:paraId="6921467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cs="宋体"/>
                <w:color w:val="auto"/>
                <w:sz w:val="24"/>
                <w:szCs w:val="24"/>
                <w:lang w:eastAsia="zh-CN"/>
              </w:rPr>
              <w:t>在施工期</w:t>
            </w:r>
            <w:r>
              <w:rPr>
                <w:rFonts w:hint="eastAsia" w:ascii="宋体" w:hAnsi="宋体" w:eastAsia="宋体" w:cs="宋体"/>
                <w:color w:val="auto"/>
                <w:sz w:val="24"/>
                <w:szCs w:val="24"/>
                <w:lang w:eastAsia="zh-CN"/>
              </w:rPr>
              <w:t>，不考虑屏障衰减时，不同距离处的噪声预测值如下：</w:t>
            </w:r>
          </w:p>
          <w:p w14:paraId="0AF337D0">
            <w:pPr>
              <w:pStyle w:val="19"/>
              <w:keepNext/>
              <w:keepLines w:val="0"/>
              <w:pageBreakBefore w:val="0"/>
              <w:widowControl w:val="0"/>
              <w:kinsoku/>
              <w:wordWrap/>
              <w:overflowPunct/>
              <w:topLinePunct w:val="0"/>
              <w:autoSpaceDE/>
              <w:autoSpaceDN/>
              <w:bidi w:val="0"/>
              <w:adjustRightInd/>
              <w:snapToGrid/>
              <w:spacing w:before="0"/>
              <w:textAlignment w:val="auto"/>
              <w:rPr>
                <w:rFonts w:hint="eastAsia"/>
                <w:b w:val="0"/>
                <w:bCs/>
                <w:color w:val="auto"/>
                <w:lang w:val="en-US" w:eastAsia="zh-CN"/>
              </w:rPr>
            </w:pPr>
            <w:r>
              <w:rPr>
                <w:rFonts w:hint="eastAsia"/>
                <w:b w:val="0"/>
                <w:bCs/>
                <w:color w:val="auto"/>
                <w:lang w:val="en-US" w:eastAsia="zh-CN"/>
              </w:rPr>
              <w:t>表4-2  施工噪声预测表</w:t>
            </w:r>
          </w:p>
          <w:tbl>
            <w:tblPr>
              <w:tblStyle w:val="9"/>
              <w:tblW w:w="8220"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1580"/>
              <w:gridCol w:w="830"/>
              <w:gridCol w:w="830"/>
              <w:gridCol w:w="830"/>
              <w:gridCol w:w="830"/>
              <w:gridCol w:w="830"/>
              <w:gridCol w:w="830"/>
              <w:gridCol w:w="830"/>
              <w:gridCol w:w="830"/>
            </w:tblGrid>
            <w:tr w14:paraId="2F88664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1580" w:type="dxa"/>
                  <w:tcBorders>
                    <w:tl2br w:val="nil"/>
                    <w:tr2bl w:val="nil"/>
                  </w:tcBorders>
                  <w:shd w:val="clear" w:color="auto" w:fill="auto"/>
                  <w:noWrap/>
                  <w:vAlign w:val="center"/>
                </w:tcPr>
                <w:p w14:paraId="77F4D9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距离（m）</w:t>
                  </w:r>
                </w:p>
              </w:tc>
              <w:tc>
                <w:tcPr>
                  <w:tcW w:w="830" w:type="dxa"/>
                  <w:tcBorders>
                    <w:tl2br w:val="nil"/>
                    <w:tr2bl w:val="nil"/>
                  </w:tcBorders>
                  <w:shd w:val="clear" w:color="auto" w:fill="auto"/>
                  <w:noWrap/>
                  <w:vAlign w:val="center"/>
                </w:tcPr>
                <w:p w14:paraId="518FC0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w:t>
                  </w:r>
                </w:p>
              </w:tc>
              <w:tc>
                <w:tcPr>
                  <w:tcW w:w="830" w:type="dxa"/>
                  <w:tcBorders>
                    <w:tl2br w:val="nil"/>
                    <w:tr2bl w:val="nil"/>
                  </w:tcBorders>
                  <w:shd w:val="clear" w:color="auto" w:fill="auto"/>
                  <w:noWrap/>
                  <w:vAlign w:val="center"/>
                </w:tcPr>
                <w:p w14:paraId="240523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40</w:t>
                  </w:r>
                </w:p>
              </w:tc>
              <w:tc>
                <w:tcPr>
                  <w:tcW w:w="830" w:type="dxa"/>
                  <w:tcBorders>
                    <w:tl2br w:val="nil"/>
                    <w:tr2bl w:val="nil"/>
                  </w:tcBorders>
                  <w:shd w:val="clear" w:color="auto" w:fill="auto"/>
                  <w:noWrap/>
                  <w:vAlign w:val="center"/>
                </w:tcPr>
                <w:p w14:paraId="518F63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60</w:t>
                  </w:r>
                </w:p>
              </w:tc>
              <w:tc>
                <w:tcPr>
                  <w:tcW w:w="830" w:type="dxa"/>
                  <w:tcBorders>
                    <w:tl2br w:val="nil"/>
                    <w:tr2bl w:val="nil"/>
                  </w:tcBorders>
                  <w:shd w:val="clear" w:color="auto" w:fill="auto"/>
                  <w:noWrap/>
                  <w:vAlign w:val="center"/>
                </w:tcPr>
                <w:p w14:paraId="59C75B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80</w:t>
                  </w:r>
                </w:p>
              </w:tc>
              <w:tc>
                <w:tcPr>
                  <w:tcW w:w="830" w:type="dxa"/>
                  <w:tcBorders>
                    <w:tl2br w:val="nil"/>
                    <w:tr2bl w:val="nil"/>
                  </w:tcBorders>
                  <w:shd w:val="clear" w:color="auto" w:fill="auto"/>
                  <w:noWrap/>
                  <w:vAlign w:val="center"/>
                </w:tcPr>
                <w:p w14:paraId="2F7631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c>
                <w:tcPr>
                  <w:tcW w:w="830" w:type="dxa"/>
                  <w:tcBorders>
                    <w:tl2br w:val="nil"/>
                    <w:tr2bl w:val="nil"/>
                  </w:tcBorders>
                  <w:shd w:val="clear" w:color="auto" w:fill="auto"/>
                  <w:noWrap/>
                  <w:vAlign w:val="center"/>
                </w:tcPr>
                <w:p w14:paraId="672A70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150</w:t>
                  </w:r>
                </w:p>
              </w:tc>
              <w:tc>
                <w:tcPr>
                  <w:tcW w:w="830" w:type="dxa"/>
                  <w:tcBorders>
                    <w:tl2br w:val="nil"/>
                    <w:tr2bl w:val="nil"/>
                  </w:tcBorders>
                  <w:shd w:val="clear" w:color="auto" w:fill="auto"/>
                  <w:noWrap/>
                  <w:vAlign w:val="center"/>
                </w:tcPr>
                <w:p w14:paraId="06F341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200</w:t>
                  </w:r>
                </w:p>
              </w:tc>
              <w:tc>
                <w:tcPr>
                  <w:tcW w:w="830" w:type="dxa"/>
                  <w:tcBorders>
                    <w:tl2br w:val="nil"/>
                    <w:tr2bl w:val="nil"/>
                  </w:tcBorders>
                  <w:shd w:val="clear" w:color="auto" w:fill="auto"/>
                  <w:noWrap/>
                  <w:vAlign w:val="center"/>
                </w:tcPr>
                <w:p w14:paraId="0938D0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300</w:t>
                  </w:r>
                </w:p>
              </w:tc>
            </w:tr>
            <w:tr w14:paraId="0DC4632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1580" w:type="dxa"/>
                  <w:tcBorders>
                    <w:tl2br w:val="nil"/>
                    <w:tr2bl w:val="nil"/>
                  </w:tcBorders>
                  <w:shd w:val="clear" w:color="auto" w:fill="auto"/>
                  <w:noWrap/>
                  <w:vAlign w:val="center"/>
                </w:tcPr>
                <w:p w14:paraId="2F1C90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噪声级dB(A)</w:t>
                  </w:r>
                </w:p>
              </w:tc>
              <w:tc>
                <w:tcPr>
                  <w:tcW w:w="830" w:type="dxa"/>
                  <w:tcBorders>
                    <w:tl2br w:val="nil"/>
                    <w:tr2bl w:val="nil"/>
                  </w:tcBorders>
                  <w:shd w:val="clear" w:color="auto" w:fill="auto"/>
                  <w:noWrap/>
                  <w:vAlign w:val="center"/>
                </w:tcPr>
                <w:p w14:paraId="70EEB0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73</w:t>
                  </w:r>
                </w:p>
              </w:tc>
              <w:tc>
                <w:tcPr>
                  <w:tcW w:w="830" w:type="dxa"/>
                  <w:tcBorders>
                    <w:tl2br w:val="nil"/>
                    <w:tr2bl w:val="nil"/>
                  </w:tcBorders>
                  <w:shd w:val="clear" w:color="auto" w:fill="auto"/>
                  <w:noWrap/>
                  <w:vAlign w:val="center"/>
                </w:tcPr>
                <w:p w14:paraId="43DF6A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67</w:t>
                  </w:r>
                </w:p>
              </w:tc>
              <w:tc>
                <w:tcPr>
                  <w:tcW w:w="830" w:type="dxa"/>
                  <w:tcBorders>
                    <w:tl2br w:val="nil"/>
                    <w:tr2bl w:val="nil"/>
                  </w:tcBorders>
                  <w:shd w:val="clear" w:color="auto" w:fill="auto"/>
                  <w:noWrap/>
                  <w:vAlign w:val="center"/>
                </w:tcPr>
                <w:p w14:paraId="5A2358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63</w:t>
                  </w:r>
                </w:p>
              </w:tc>
              <w:tc>
                <w:tcPr>
                  <w:tcW w:w="830" w:type="dxa"/>
                  <w:tcBorders>
                    <w:tl2br w:val="nil"/>
                    <w:tr2bl w:val="nil"/>
                  </w:tcBorders>
                  <w:shd w:val="clear" w:color="auto" w:fill="auto"/>
                  <w:noWrap/>
                  <w:vAlign w:val="center"/>
                </w:tcPr>
                <w:p w14:paraId="0DF73C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61</w:t>
                  </w:r>
                </w:p>
              </w:tc>
              <w:tc>
                <w:tcPr>
                  <w:tcW w:w="830" w:type="dxa"/>
                  <w:tcBorders>
                    <w:tl2br w:val="nil"/>
                    <w:tr2bl w:val="nil"/>
                  </w:tcBorders>
                  <w:shd w:val="clear" w:color="auto" w:fill="auto"/>
                  <w:noWrap/>
                  <w:vAlign w:val="center"/>
                </w:tcPr>
                <w:p w14:paraId="0E6F56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59</w:t>
                  </w:r>
                </w:p>
              </w:tc>
              <w:tc>
                <w:tcPr>
                  <w:tcW w:w="830" w:type="dxa"/>
                  <w:tcBorders>
                    <w:tl2br w:val="nil"/>
                    <w:tr2bl w:val="nil"/>
                  </w:tcBorders>
                  <w:shd w:val="clear" w:color="auto" w:fill="auto"/>
                  <w:noWrap/>
                  <w:vAlign w:val="center"/>
                </w:tcPr>
                <w:p w14:paraId="52B504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55</w:t>
                  </w:r>
                </w:p>
              </w:tc>
              <w:tc>
                <w:tcPr>
                  <w:tcW w:w="830" w:type="dxa"/>
                  <w:tcBorders>
                    <w:tl2br w:val="nil"/>
                    <w:tr2bl w:val="nil"/>
                  </w:tcBorders>
                  <w:shd w:val="clear" w:color="auto" w:fill="auto"/>
                  <w:noWrap/>
                  <w:vAlign w:val="center"/>
                </w:tcPr>
                <w:p w14:paraId="45068D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53</w:t>
                  </w:r>
                </w:p>
              </w:tc>
              <w:tc>
                <w:tcPr>
                  <w:tcW w:w="830" w:type="dxa"/>
                  <w:tcBorders>
                    <w:tl2br w:val="nil"/>
                    <w:tr2bl w:val="nil"/>
                  </w:tcBorders>
                  <w:shd w:val="clear" w:color="auto" w:fill="auto"/>
                  <w:noWrap/>
                  <w:vAlign w:val="center"/>
                </w:tcPr>
                <w:p w14:paraId="4B8EEB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49</w:t>
                  </w:r>
                </w:p>
              </w:tc>
            </w:tr>
          </w:tbl>
          <w:p w14:paraId="4C50874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由预测结果可知，在未采取任何降噪措施的情况下，施工噪声昼间达标距离约为40m，夜间达标距离较远（本工程禁止夜间高噪声作业）。当多台机械设备同时运行时，噪声叠加效应将使达标距离进一步增大。</w:t>
            </w:r>
          </w:p>
          <w:p w14:paraId="1D1136C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（3）对敏感点的影响</w:t>
            </w:r>
          </w:p>
          <w:p w14:paraId="1EDF932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根据报告表表3.13，项目施工点周边分布有大量居民区、学校等声环境敏感目标，如金税小区、融创实验学校、东城小学、郭兴小学等。多数敏感点距施工点最近距离约</w:t>
            </w:r>
            <w:r>
              <w:rPr>
                <w:rFonts w:hint="default" w:ascii="Times New Roman" w:hAnsi="Times New Roman" w:eastAsia="宋体" w:cs="Times New Roman"/>
                <w:color w:val="auto"/>
                <w:sz w:val="24"/>
                <w:szCs w:val="24"/>
                <w:lang w:eastAsia="zh-CN"/>
              </w:rPr>
              <w:t>20~50</w:t>
            </w:r>
            <w:r>
              <w:rPr>
                <w:rFonts w:hint="eastAsia" w:ascii="宋体" w:hAnsi="宋体" w:eastAsia="宋体" w:cs="宋体"/>
                <w:color w:val="auto"/>
                <w:sz w:val="24"/>
                <w:szCs w:val="24"/>
                <w:lang w:eastAsia="zh-CN"/>
              </w:rPr>
              <w:t>m。</w:t>
            </w:r>
          </w:p>
          <w:p w14:paraId="2E340BB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在未采取降噪措施的情况下，距施工点20m处噪声预测值约73dB(A)，高于《建筑施工噪声排放标准》（GB12523-2025）昼间70dB(A)限值，超标约3dB(A)；距施工点40m处噪声预测值约67dB(A)，可满足昼间标准要求。</w:t>
            </w:r>
          </w:p>
          <w:p w14:paraId="194521E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因此，在临近敏感点的施工段，必须采取以下降噪措施：</w:t>
            </w:r>
          </w:p>
          <w:p w14:paraId="6FD0F14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①选用低噪声施工机械，对高噪声设备采取隔声、减振措施。</w:t>
            </w:r>
          </w:p>
          <w:p w14:paraId="2512555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②合理安排施工时间，禁止夜间（22:00</w:t>
            </w:r>
            <w:r>
              <w:rPr>
                <w:rFonts w:hint="default" w:ascii="Times New Roman" w:hAnsi="Times New Roman" w:eastAsia="宋体" w:cs="Times New Roman"/>
                <w:color w:val="auto"/>
                <w:sz w:val="24"/>
                <w:szCs w:val="24"/>
                <w:lang w:eastAsia="zh-CN"/>
              </w:rPr>
              <w:t>~</w:t>
            </w:r>
            <w:r>
              <w:rPr>
                <w:rFonts w:hint="eastAsia" w:ascii="宋体" w:hAnsi="宋体" w:eastAsia="宋体" w:cs="宋体"/>
                <w:color w:val="auto"/>
                <w:sz w:val="24"/>
                <w:szCs w:val="24"/>
                <w:lang w:eastAsia="zh-CN"/>
              </w:rPr>
              <w:t>次日06:00）进行高噪声施工作业；学校周边施工应避开上课时段；居民区周边施工应避开午休时段。</w:t>
            </w:r>
          </w:p>
          <w:p w14:paraId="68609CB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③设置临时声屏障：在距离敏感点较近（&lt;30m）的施工段，沿施工边界设置高度不低于2m的临时隔声围挡。</w:t>
            </w:r>
          </w:p>
          <w:p w14:paraId="78EDE08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④合理布局施工现场：高噪声设备尽量布置在远离敏感点一侧。</w:t>
            </w:r>
          </w:p>
          <w:p w14:paraId="40582A0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在采取上述措施后，施工噪声对周边敏感点的影响可控制在可接受范围内。</w:t>
            </w:r>
          </w:p>
          <w:p w14:paraId="74447A2A">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eastAsia="宋体" w:cs="宋体"/>
                <w:b/>
                <w:bCs/>
                <w:color w:val="auto"/>
                <w:sz w:val="24"/>
                <w:szCs w:val="24"/>
                <w:lang w:eastAsia="zh-CN"/>
              </w:rPr>
            </w:pPr>
            <w:r>
              <w:rPr>
                <w:rFonts w:hint="eastAsia" w:ascii="宋体" w:hAnsi="宋体" w:eastAsia="宋体" w:cs="宋体"/>
                <w:b/>
                <w:bCs/>
                <w:color w:val="auto"/>
                <w:sz w:val="24"/>
                <w:szCs w:val="24"/>
                <w:lang w:eastAsia="zh-CN"/>
              </w:rPr>
              <w:t>5、施工期固体废物影响分析</w:t>
            </w:r>
          </w:p>
          <w:p w14:paraId="37136E2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施工期固体废物主要包括工程弃渣（弃方）、顶管废弃泥浆、清淤淤泥、建筑垃圾和施工人员生活垃圾等。</w:t>
            </w:r>
          </w:p>
          <w:p w14:paraId="21947AF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（1）工程弃渣</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900-001-S70</w:t>
            </w:r>
            <w:r>
              <w:rPr>
                <w:rFonts w:hint="eastAsia" w:ascii="宋体" w:hAnsi="宋体" w:cs="宋体"/>
                <w:color w:val="auto"/>
                <w:sz w:val="24"/>
                <w:szCs w:val="24"/>
                <w:lang w:eastAsia="zh-CN"/>
              </w:rPr>
              <w:t>）</w:t>
            </w:r>
          </w:p>
          <w:p w14:paraId="44D7F52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根据报告表土石方平衡分析，防洪排涝工程弃方约</w:t>
            </w:r>
            <w:r>
              <w:rPr>
                <w:rFonts w:hint="eastAsia" w:ascii="宋体" w:hAnsi="宋体" w:cs="宋体"/>
                <w:color w:val="auto"/>
                <w:sz w:val="24"/>
                <w:szCs w:val="24"/>
                <w:lang w:val="en-US" w:eastAsia="zh-CN"/>
              </w:rPr>
              <w:t>0.43万m³</w:t>
            </w:r>
            <w:r>
              <w:rPr>
                <w:rFonts w:hint="eastAsia" w:ascii="宋体" w:hAnsi="宋体" w:eastAsia="宋体" w:cs="宋体"/>
                <w:color w:val="auto"/>
                <w:sz w:val="24"/>
                <w:szCs w:val="24"/>
                <w:lang w:eastAsia="zh-CN"/>
              </w:rPr>
              <w:t>，给水工程弃方约</w:t>
            </w:r>
            <w:r>
              <w:rPr>
                <w:rFonts w:hint="eastAsia" w:ascii="宋体" w:hAnsi="宋体" w:cs="宋体"/>
                <w:color w:val="auto"/>
                <w:sz w:val="24"/>
                <w:szCs w:val="24"/>
                <w:lang w:val="en-US" w:eastAsia="zh-CN"/>
              </w:rPr>
              <w:t>3万m³</w:t>
            </w:r>
            <w:r>
              <w:rPr>
                <w:rFonts w:hint="eastAsia" w:ascii="宋体" w:hAnsi="宋体" w:eastAsia="宋体" w:cs="宋体"/>
                <w:color w:val="auto"/>
                <w:sz w:val="24"/>
                <w:szCs w:val="24"/>
                <w:lang w:eastAsia="zh-CN"/>
              </w:rPr>
              <w:t>，合计弃方约3.</w:t>
            </w:r>
            <w:r>
              <w:rPr>
                <w:rFonts w:hint="eastAsia" w:ascii="宋体" w:hAnsi="宋体" w:cs="宋体"/>
                <w:color w:val="auto"/>
                <w:sz w:val="24"/>
                <w:szCs w:val="24"/>
                <w:lang w:val="en-US" w:eastAsia="zh-CN"/>
              </w:rPr>
              <w:t>43</w:t>
            </w:r>
            <w:r>
              <w:rPr>
                <w:rFonts w:hint="eastAsia" w:ascii="宋体" w:hAnsi="宋体" w:eastAsia="宋体" w:cs="宋体"/>
                <w:color w:val="auto"/>
                <w:sz w:val="24"/>
                <w:szCs w:val="24"/>
                <w:lang w:eastAsia="zh-CN"/>
              </w:rPr>
              <w:t>万m³。弃渣主要为开挖管槽和顶管工作井施工产生的多余土方，优先用于周边低洼场地平整，不能利用的部分委托渣土公司运至政府部门指定的建筑垃圾消纳场进行消纳，不单独设置弃渣场。</w:t>
            </w:r>
          </w:p>
          <w:p w14:paraId="3E74DBE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（2）顶管废弃泥浆</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900-001-S71</w:t>
            </w:r>
            <w:r>
              <w:rPr>
                <w:rFonts w:hint="eastAsia" w:ascii="宋体" w:hAnsi="宋体" w:cs="宋体"/>
                <w:color w:val="auto"/>
                <w:sz w:val="24"/>
                <w:szCs w:val="24"/>
                <w:lang w:eastAsia="zh-CN"/>
              </w:rPr>
              <w:t>）</w:t>
            </w:r>
          </w:p>
          <w:p w14:paraId="3AF2CE2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顶管施工产生的废弃泥浆约3.6万m³，经泥水分离系统处理后，泥饼外运至指定消纳场</w:t>
            </w:r>
            <w:r>
              <w:rPr>
                <w:rFonts w:hint="eastAsia" w:ascii="宋体" w:hAnsi="宋体" w:cs="宋体"/>
                <w:color w:val="auto"/>
                <w:sz w:val="24"/>
                <w:szCs w:val="24"/>
                <w:lang w:eastAsia="zh-CN"/>
              </w:rPr>
              <w:t>或用于生产建筑材料原料，</w:t>
            </w:r>
            <w:r>
              <w:rPr>
                <w:rFonts w:hint="eastAsia" w:ascii="宋体" w:hAnsi="宋体" w:eastAsia="宋体" w:cs="宋体"/>
                <w:color w:val="auto"/>
                <w:sz w:val="24"/>
                <w:szCs w:val="24"/>
                <w:lang w:eastAsia="zh-CN"/>
              </w:rPr>
              <w:t>尾水循环利用。泥浆处理过程中应优化絮凝剂配比，提高脱水效率，现场设置泥浆收集池，防止泥浆溢流进入周边水体。</w:t>
            </w:r>
          </w:p>
          <w:p w14:paraId="25A4321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（3）清淤淤泥</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900-001-S72</w:t>
            </w:r>
            <w:r>
              <w:rPr>
                <w:rFonts w:hint="eastAsia" w:ascii="宋体" w:hAnsi="宋体" w:cs="宋体"/>
                <w:color w:val="auto"/>
                <w:sz w:val="24"/>
                <w:szCs w:val="24"/>
                <w:lang w:eastAsia="zh-CN"/>
              </w:rPr>
              <w:t>）</w:t>
            </w:r>
          </w:p>
          <w:p w14:paraId="5C13BE8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排水管沟清淤1350m，估算清淤量约680m³。根据底泥监测结果（表3.11），清淤淤泥中各重金属含量满足《土壤环境质量 农用地土壤污染风险管控标准（试行）》（GB15618-2018）要求，不属于危险废物。清淤淤泥经自然晾晒或机械脱水后，交岳阳楼区市政部门统一处理，不得随意倾倒或堆放。清淤作业应做到“即清即运”，减少淤泥在场地的存放时间。</w:t>
            </w:r>
          </w:p>
          <w:p w14:paraId="7B5E571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（4）建筑垃圾</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900-099-S73</w:t>
            </w:r>
            <w:r>
              <w:rPr>
                <w:rFonts w:hint="eastAsia" w:ascii="宋体" w:hAnsi="宋体" w:cs="宋体"/>
                <w:color w:val="auto"/>
                <w:sz w:val="24"/>
                <w:szCs w:val="24"/>
                <w:lang w:eastAsia="zh-CN"/>
              </w:rPr>
              <w:t>）</w:t>
            </w:r>
          </w:p>
          <w:p w14:paraId="47936D6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建筑垃圾主要包括废弃混凝土块、路面破碎产生的沥青废料、废模板、废钢筋头等。可回收部分（如废钢筋、废模板）交由物资回收公司回收利用；不可回收部分（如废弃混凝土、沥青废料）运至政府部门指定的消纳场所处置。</w:t>
            </w:r>
          </w:p>
          <w:p w14:paraId="2A47577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color w:val="auto"/>
                <w:sz w:val="24"/>
                <w:lang w:val="en-US" w:eastAsia="zh-CN"/>
              </w:rPr>
            </w:pPr>
            <w:r>
              <w:rPr>
                <w:rFonts w:hint="eastAsia"/>
                <w:color w:val="auto"/>
                <w:sz w:val="24"/>
                <w:lang w:val="en-US" w:eastAsia="zh-CN"/>
              </w:rPr>
              <w:t>（5）</w:t>
            </w:r>
            <w:r>
              <w:rPr>
                <w:rFonts w:hint="default"/>
                <w:color w:val="auto"/>
                <w:sz w:val="24"/>
                <w:lang w:val="en-US" w:eastAsia="zh-CN"/>
              </w:rPr>
              <w:t>沉淀池污泥</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900-001-S71</w:t>
            </w:r>
            <w:r>
              <w:rPr>
                <w:rFonts w:hint="eastAsia" w:ascii="宋体" w:hAnsi="宋体" w:cs="宋体"/>
                <w:color w:val="auto"/>
                <w:sz w:val="24"/>
                <w:szCs w:val="24"/>
                <w:lang w:eastAsia="zh-CN"/>
              </w:rPr>
              <w:t>）</w:t>
            </w:r>
          </w:p>
          <w:p w14:paraId="42E0450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default"/>
                <w:color w:val="auto"/>
                <w:sz w:val="24"/>
                <w:lang w:val="en-US" w:eastAsia="zh-CN"/>
              </w:rPr>
              <w:t>车辆冲洗沉淀池产生的泥沙（约2t），属一般固废，</w:t>
            </w:r>
            <w:r>
              <w:rPr>
                <w:rFonts w:hint="eastAsia"/>
                <w:color w:val="auto"/>
                <w:sz w:val="24"/>
                <w:lang w:val="en-US" w:eastAsia="zh-CN"/>
              </w:rPr>
              <w:t>优先</w:t>
            </w:r>
            <w:r>
              <w:rPr>
                <w:rFonts w:hint="default"/>
                <w:color w:val="auto"/>
                <w:sz w:val="24"/>
                <w:lang w:val="en-US" w:eastAsia="zh-CN"/>
              </w:rPr>
              <w:t>用于场地平整或就近填埋</w:t>
            </w:r>
            <w:r>
              <w:rPr>
                <w:rFonts w:hint="eastAsia"/>
                <w:color w:val="auto"/>
                <w:sz w:val="24"/>
                <w:lang w:val="en-US" w:eastAsia="zh-CN"/>
              </w:rPr>
              <w:t>，多余</w:t>
            </w:r>
            <w:r>
              <w:rPr>
                <w:rFonts w:hint="eastAsia" w:ascii="宋体" w:hAnsi="宋体" w:eastAsia="宋体" w:cs="宋体"/>
                <w:color w:val="auto"/>
                <w:sz w:val="24"/>
                <w:szCs w:val="24"/>
                <w:lang w:eastAsia="zh-CN"/>
              </w:rPr>
              <w:t>委托渣土公司运至政府部门指定的建筑垃圾消纳场进行消纳</w:t>
            </w:r>
            <w:r>
              <w:rPr>
                <w:rFonts w:hint="default"/>
                <w:color w:val="auto"/>
                <w:sz w:val="24"/>
                <w:lang w:val="en-US" w:eastAsia="zh-CN"/>
              </w:rPr>
              <w:t>。隔油池废油按危险废物管理</w:t>
            </w:r>
            <w:r>
              <w:rPr>
                <w:rFonts w:hint="eastAsia"/>
                <w:color w:val="auto"/>
                <w:sz w:val="24"/>
                <w:lang w:val="en-US" w:eastAsia="zh-CN"/>
              </w:rPr>
              <w:t>（900-210-08）</w:t>
            </w:r>
            <w:r>
              <w:rPr>
                <w:rFonts w:hint="default"/>
                <w:color w:val="auto"/>
                <w:sz w:val="24"/>
                <w:lang w:val="en-US" w:eastAsia="zh-CN"/>
              </w:rPr>
              <w:t>，委托有资质单位处置。</w:t>
            </w:r>
          </w:p>
          <w:p w14:paraId="4D024A8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w:t>
            </w:r>
            <w:r>
              <w:rPr>
                <w:rFonts w:hint="eastAsia" w:ascii="宋体" w:hAnsi="宋体" w:cs="宋体"/>
                <w:color w:val="auto"/>
                <w:sz w:val="24"/>
                <w:szCs w:val="24"/>
                <w:lang w:val="en-US" w:eastAsia="zh-CN"/>
              </w:rPr>
              <w:t>6</w:t>
            </w:r>
            <w:r>
              <w:rPr>
                <w:rFonts w:hint="eastAsia" w:ascii="宋体" w:hAnsi="宋体" w:eastAsia="宋体" w:cs="宋体"/>
                <w:color w:val="auto"/>
                <w:sz w:val="24"/>
                <w:szCs w:val="24"/>
                <w:lang w:eastAsia="zh-CN"/>
              </w:rPr>
              <w:t>）生活垃圾</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900-002-S62</w:t>
            </w:r>
            <w:r>
              <w:rPr>
                <w:rFonts w:hint="eastAsia" w:ascii="宋体" w:hAnsi="宋体" w:cs="宋体"/>
                <w:color w:val="auto"/>
                <w:sz w:val="24"/>
                <w:szCs w:val="24"/>
                <w:lang w:eastAsia="zh-CN"/>
              </w:rPr>
              <w:t>）</w:t>
            </w:r>
          </w:p>
          <w:p w14:paraId="004CBFA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施工期施工人员约120人，生活垃圾产生量按0.5kg/人·d计，约60kg/d。各施工营地设置垃圾桶集中收集生活垃圾，委托当地环卫部门定期清运。</w:t>
            </w:r>
          </w:p>
          <w:p w14:paraId="072F7AB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cs="宋体"/>
                <w:color w:val="auto"/>
                <w:sz w:val="24"/>
                <w:szCs w:val="24"/>
                <w:lang w:eastAsia="zh-CN"/>
              </w:rPr>
              <w:t>本项目排水管涵清淤产生的疏浚污泥，经检测满足《土壤环境质量 农用地土壤污染风险管控标准（试行）》（GB 15618-2018）筛选值要求，属于一般工业固体废物，执行《一般工业固体废物贮存和填埋污染控制标准》（GB 18599-2020）相关规定；同时根据《湖南省城市建筑垃圾管理实施细则》（湘建建〔2024〕9号），该部分疏浚污泥纳入城市建筑垃圾管理范畴，采用分段干式清淤、现场脱水干化后（</w:t>
            </w:r>
            <w:r>
              <w:rPr>
                <w:rFonts w:hint="eastAsia" w:ascii="宋体" w:hAnsi="宋体" w:cs="宋体"/>
                <w:color w:val="auto"/>
                <w:sz w:val="24"/>
                <w:szCs w:val="24"/>
                <w:lang w:val="en-US" w:eastAsia="zh-CN"/>
              </w:rPr>
              <w:t>清淤设备自带脱水功能</w:t>
            </w:r>
            <w:r>
              <w:rPr>
                <w:rFonts w:hint="eastAsia" w:ascii="宋体" w:hAnsi="宋体" w:cs="宋体"/>
                <w:color w:val="auto"/>
                <w:sz w:val="24"/>
                <w:szCs w:val="24"/>
                <w:lang w:eastAsia="zh-CN"/>
              </w:rPr>
              <w:t>），交由岳阳楼区市政部门统一收运至指定消纳场所处置，运输车辆密闭、按规定路线行驶，不随意倾倒、不排入周边水体，全过程符合环保及城市管理相关要求。因此，</w:t>
            </w:r>
            <w:r>
              <w:rPr>
                <w:rFonts w:hint="eastAsia" w:ascii="宋体" w:hAnsi="宋体" w:eastAsia="宋体" w:cs="宋体"/>
                <w:color w:val="auto"/>
                <w:sz w:val="24"/>
                <w:szCs w:val="24"/>
                <w:lang w:eastAsia="zh-CN"/>
              </w:rPr>
              <w:t>采取以上措施后，施工期固体废物均可得到妥善处置，对环境影响较小。</w:t>
            </w:r>
          </w:p>
          <w:p w14:paraId="41C166D4">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left"/>
              <w:textAlignment w:val="auto"/>
              <w:rPr>
                <w:rFonts w:hint="eastAsia" w:ascii="宋体" w:hAnsi="宋体" w:eastAsia="宋体" w:cs="宋体"/>
                <w:b/>
                <w:bCs/>
                <w:color w:val="auto"/>
                <w:sz w:val="24"/>
                <w:szCs w:val="24"/>
                <w:lang w:eastAsia="zh-CN"/>
              </w:rPr>
            </w:pPr>
            <w:r>
              <w:rPr>
                <w:rFonts w:hint="eastAsia" w:ascii="宋体" w:hAnsi="宋体" w:eastAsia="宋体" w:cs="宋体"/>
                <w:b/>
                <w:bCs/>
                <w:color w:val="auto"/>
                <w:sz w:val="24"/>
                <w:szCs w:val="24"/>
                <w:lang w:eastAsia="zh-CN"/>
              </w:rPr>
              <w:t>6、施工期环境风险分析</w:t>
            </w:r>
          </w:p>
          <w:p w14:paraId="0E9EEA6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施工期主要环境风险包括：</w:t>
            </w:r>
          </w:p>
          <w:p w14:paraId="71753DA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（1）顶管泥浆泄漏风险</w:t>
            </w:r>
          </w:p>
          <w:p w14:paraId="64A02BB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顶管施工过程中，若泥浆管道破裂、泥浆池防渗层破损或操作不当，可能导致泥浆泄漏进入周边土壤或水体。泥浆进入王家河等水体后，将增加水体悬浮物浓度，影响水生态环境；泥浆进入土壤后可能造成土壤板结。</w:t>
            </w:r>
          </w:p>
          <w:p w14:paraId="633D082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防范措施：泥浆池底部及四壁应采取防渗处理（如铺设HDPE土工膜）；泥浆输送管道定期检查维护；施工现场配备应急堵漏材料和应急队伍；一旦发生泄漏，立即停止作业、封堵泄漏点、围堵控制污染扩散。</w:t>
            </w:r>
          </w:p>
          <w:p w14:paraId="2DB5F5B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（2）施工机械油料泄漏风险</w:t>
            </w:r>
          </w:p>
          <w:p w14:paraId="1DA7E77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施工机械燃油（柴油、汽油）在储存、加注和使用过程中可能发生泄漏，油品进入土壤或水体将造成环境污染。</w:t>
            </w:r>
          </w:p>
          <w:p w14:paraId="3D2DCCF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防范措施：施工现场不储存大量油料，机械加油依托附近加油站；加强施工机械日常维护保养，防止跑、冒、滴、漏；施工现场配备吸油毡、围油栏等应急物资；编制施工期环境应急预案，明确应急响应程序和责任人。</w:t>
            </w:r>
          </w:p>
          <w:p w14:paraId="38B79E7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（3）雨季施工安全风险</w:t>
            </w:r>
          </w:p>
          <w:p w14:paraId="625BA99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雨季施工时，基坑积水、沟槽坍塌可能引发安全事故和次生环境问题。</w:t>
            </w:r>
          </w:p>
          <w:p w14:paraId="5DEC838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防范措施：避开雨季进行大规模管沟开挖作业，确需雨季施工时应加强基坑排水和边坡支护；编制汛期施工专项应急预案，配备足够的排水设备；加强气象预报跟踪，遇暴雨天气及时停工。</w:t>
            </w:r>
          </w:p>
          <w:p w14:paraId="4EE1FEA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color w:val="FF0000"/>
              </w:rPr>
            </w:pPr>
            <w:r>
              <w:rPr>
                <w:rFonts w:hint="eastAsia" w:ascii="宋体" w:hAnsi="宋体" w:eastAsia="宋体" w:cs="宋体"/>
                <w:color w:val="auto"/>
                <w:sz w:val="24"/>
                <w:szCs w:val="24"/>
                <w:lang w:eastAsia="zh-CN"/>
              </w:rPr>
              <w:t>本项目施工期主要生态环境影响表现为临时占地对植被的短期破坏、施工噪声对周边敏感点的干扰、施工扬尘对大气环境的影响、施工废水和泥浆对水体的潜在污染风险以及施工固废的处置问题。但以上影响均具有临时性和局部性特点，在严格落实各项环境保护措施和风险防范措施后，施工期对生态环境的影响可控制在可接受范围内，且随着施工期的结束而逐步恢复。项目运营期不产生污染，对环境无不利影响。综上所述，项目施工期将会对施工场地周围的环境质量造成一定影响，但这些影响随着施工期的结束也会结束</w:t>
            </w:r>
            <w:r>
              <w:rPr>
                <w:rFonts w:hint="eastAsia" w:ascii="宋体" w:hAnsi="宋体" w:cs="宋体"/>
                <w:color w:val="auto"/>
                <w:sz w:val="24"/>
                <w:szCs w:val="24"/>
                <w:lang w:val="en-US" w:eastAsia="zh-CN"/>
              </w:rPr>
              <w:t>，</w:t>
            </w:r>
            <w:r>
              <w:rPr>
                <w:rFonts w:hint="eastAsia" w:ascii="宋体" w:hAnsi="宋体" w:eastAsia="宋体" w:cs="宋体"/>
                <w:color w:val="auto"/>
                <w:sz w:val="24"/>
                <w:szCs w:val="24"/>
                <w:lang w:eastAsia="zh-CN"/>
              </w:rPr>
              <w:t>从环境保护角度而言，施工期各项环保措施有效可行。</w:t>
            </w:r>
          </w:p>
        </w:tc>
      </w:tr>
      <w:tr w14:paraId="7231490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49" w:type="dxa"/>
            <w:tcMar>
              <w:left w:w="28" w:type="dxa"/>
              <w:right w:w="28" w:type="dxa"/>
            </w:tcMar>
            <w:vAlign w:val="center"/>
          </w:tcPr>
          <w:p w14:paraId="6C580430">
            <w:pPr>
              <w:adjustRightInd w:val="0"/>
              <w:snapToGrid w:val="0"/>
              <w:jc w:val="center"/>
              <w:rPr>
                <w:rFonts w:hint="eastAsia" w:ascii="宋体" w:hAnsi="宋体" w:cs="宋体"/>
                <w:bCs/>
                <w:color w:val="auto"/>
                <w:sz w:val="24"/>
                <w:szCs w:val="24"/>
              </w:rPr>
            </w:pPr>
            <w:r>
              <w:rPr>
                <w:rFonts w:hint="eastAsia" w:ascii="宋体" w:hAnsi="宋体" w:cs="宋体"/>
                <w:bCs/>
                <w:color w:val="auto"/>
                <w:sz w:val="24"/>
                <w:szCs w:val="24"/>
              </w:rPr>
              <w:t>运营</w:t>
            </w:r>
          </w:p>
          <w:p w14:paraId="1CEA1F15">
            <w:pPr>
              <w:adjustRightInd w:val="0"/>
              <w:snapToGrid w:val="0"/>
              <w:jc w:val="center"/>
              <w:rPr>
                <w:rFonts w:hint="eastAsia" w:ascii="宋体" w:hAnsi="宋体" w:cs="宋体"/>
                <w:bCs/>
                <w:color w:val="auto"/>
                <w:sz w:val="24"/>
                <w:szCs w:val="24"/>
              </w:rPr>
            </w:pPr>
            <w:r>
              <w:rPr>
                <w:rFonts w:hint="eastAsia" w:ascii="宋体" w:hAnsi="宋体" w:cs="宋体"/>
                <w:bCs/>
                <w:color w:val="auto"/>
                <w:sz w:val="24"/>
                <w:szCs w:val="24"/>
              </w:rPr>
              <w:t>期</w:t>
            </w:r>
            <w:r>
              <w:rPr>
                <w:rFonts w:hint="eastAsia" w:ascii="宋体" w:hAnsi="宋体" w:cs="宋体"/>
                <w:bCs/>
                <w:color w:val="auto"/>
                <w:sz w:val="24"/>
                <w:szCs w:val="24"/>
                <w:lang w:eastAsia="zh-CN"/>
              </w:rPr>
              <w:t>生态</w:t>
            </w:r>
            <w:r>
              <w:rPr>
                <w:rFonts w:hint="eastAsia" w:ascii="宋体" w:hAnsi="宋体" w:cs="宋体"/>
                <w:bCs/>
                <w:color w:val="auto"/>
                <w:sz w:val="24"/>
                <w:szCs w:val="24"/>
              </w:rPr>
              <w:t>环</w:t>
            </w:r>
          </w:p>
          <w:p w14:paraId="3FDDA931">
            <w:pPr>
              <w:adjustRightInd w:val="0"/>
              <w:snapToGrid w:val="0"/>
              <w:jc w:val="center"/>
              <w:rPr>
                <w:rFonts w:hint="eastAsia" w:ascii="宋体" w:hAnsi="宋体" w:cs="宋体"/>
                <w:bCs/>
                <w:color w:val="auto"/>
                <w:sz w:val="24"/>
                <w:szCs w:val="24"/>
              </w:rPr>
            </w:pPr>
            <w:r>
              <w:rPr>
                <w:rFonts w:hint="eastAsia" w:ascii="宋体" w:hAnsi="宋体" w:cs="宋体"/>
                <w:bCs/>
                <w:color w:val="auto"/>
                <w:sz w:val="24"/>
                <w:szCs w:val="24"/>
              </w:rPr>
              <w:t>境影</w:t>
            </w:r>
          </w:p>
          <w:p w14:paraId="5EBCB58D">
            <w:pPr>
              <w:adjustRightInd w:val="0"/>
              <w:snapToGrid w:val="0"/>
              <w:jc w:val="center"/>
              <w:rPr>
                <w:rFonts w:hint="eastAsia" w:ascii="宋体" w:hAnsi="宋体" w:eastAsia="宋体" w:cs="宋体"/>
                <w:bCs/>
                <w:color w:val="FF0000"/>
                <w:sz w:val="24"/>
                <w:szCs w:val="24"/>
                <w:lang w:eastAsia="zh-CN"/>
              </w:rPr>
            </w:pPr>
            <w:r>
              <w:rPr>
                <w:rFonts w:hint="eastAsia" w:ascii="宋体" w:hAnsi="宋体" w:cs="宋体"/>
                <w:bCs/>
                <w:color w:val="auto"/>
                <w:sz w:val="24"/>
                <w:szCs w:val="24"/>
              </w:rPr>
              <w:t>响</w:t>
            </w:r>
            <w:r>
              <w:rPr>
                <w:rFonts w:hint="eastAsia" w:ascii="宋体" w:hAnsi="宋体" w:cs="宋体"/>
                <w:bCs/>
                <w:color w:val="auto"/>
                <w:sz w:val="24"/>
                <w:szCs w:val="24"/>
                <w:lang w:eastAsia="zh-CN"/>
              </w:rPr>
              <w:t>分析</w:t>
            </w:r>
          </w:p>
        </w:tc>
        <w:tc>
          <w:tcPr>
            <w:tcW w:w="8359" w:type="dxa"/>
            <w:vAlign w:val="center"/>
          </w:tcPr>
          <w:p w14:paraId="7BF135B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本项目运营期不产生生产性废气、废水污染物，主要环境影响为给水工程中加压泵站运行产生的噪声和少量固体废物（栅渣、维修废物），以及防洪排涝工程雨水管网运营期对受纳水体的水文影响。</w:t>
            </w:r>
          </w:p>
          <w:p w14:paraId="008F6DE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1、运营期噪声影响分析</w:t>
            </w:r>
          </w:p>
          <w:p w14:paraId="4A40C87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（1）噪声源识别</w:t>
            </w:r>
          </w:p>
          <w:p w14:paraId="4B2BD6D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本项目原址（设备已拆除）重建加压泵站1座，位于郭镇乡仓田村，用于解决该片区居民水压不足问题。泵站内设供水泵组，水泵运行时产生机械噪声和流体噪声。</w:t>
            </w:r>
          </w:p>
          <w:p w14:paraId="0ABCC91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根据设计方案及同类泵站类比调查，单台水泵噪声级为</w:t>
            </w:r>
            <w:r>
              <w:rPr>
                <w:rFonts w:hint="default" w:ascii="Times New Roman" w:hAnsi="Times New Roman" w:cs="Times New Roman"/>
                <w:b w:val="0"/>
                <w:bCs w:val="0"/>
                <w:color w:val="auto"/>
                <w:sz w:val="24"/>
                <w:szCs w:val="24"/>
                <w:lang w:val="en-US" w:eastAsia="zh-CN"/>
              </w:rPr>
              <w:t>60~80</w:t>
            </w:r>
            <w:r>
              <w:rPr>
                <w:rFonts w:hint="eastAsia" w:ascii="宋体" w:hAnsi="宋体" w:cs="宋体"/>
                <w:b w:val="0"/>
                <w:bCs w:val="0"/>
                <w:color w:val="auto"/>
                <w:sz w:val="24"/>
                <w:szCs w:val="24"/>
                <w:lang w:val="en-US" w:eastAsia="zh-CN"/>
              </w:rPr>
              <w:t>dB(A)，设计流量约</w:t>
            </w:r>
            <w:r>
              <w:rPr>
                <w:rFonts w:hint="eastAsia" w:cs="Times New Roman"/>
                <w:b w:val="0"/>
                <w:bCs w:val="0"/>
                <w:color w:val="auto"/>
                <w:sz w:val="24"/>
                <w:szCs w:val="24"/>
                <w:lang w:val="en-US" w:eastAsia="zh-CN"/>
              </w:rPr>
              <w:t>20</w:t>
            </w:r>
            <w:r>
              <w:rPr>
                <w:rFonts w:hint="default" w:ascii="Times New Roman" w:hAnsi="Times New Roman" w:cs="Times New Roman"/>
                <w:b w:val="0"/>
                <w:bCs w:val="0"/>
                <w:color w:val="auto"/>
                <w:sz w:val="24"/>
                <w:szCs w:val="24"/>
                <w:lang w:val="en-US" w:eastAsia="zh-CN"/>
              </w:rPr>
              <w:t>0~</w:t>
            </w:r>
            <w:r>
              <w:rPr>
                <w:rFonts w:hint="eastAsia" w:cs="Times New Roman"/>
                <w:b w:val="0"/>
                <w:bCs w:val="0"/>
                <w:color w:val="auto"/>
                <w:sz w:val="24"/>
                <w:szCs w:val="24"/>
                <w:lang w:val="en-US" w:eastAsia="zh-CN"/>
              </w:rPr>
              <w:t>3</w:t>
            </w:r>
            <w:r>
              <w:rPr>
                <w:rFonts w:hint="default" w:ascii="Times New Roman" w:hAnsi="Times New Roman" w:cs="Times New Roman"/>
                <w:b w:val="0"/>
                <w:bCs w:val="0"/>
                <w:color w:val="auto"/>
                <w:sz w:val="24"/>
                <w:szCs w:val="24"/>
                <w:lang w:val="en-US" w:eastAsia="zh-CN"/>
              </w:rPr>
              <w:t>00</w:t>
            </w:r>
            <w:r>
              <w:rPr>
                <w:rFonts w:hint="eastAsia" w:ascii="宋体" w:hAnsi="宋体" w:cs="宋体"/>
                <w:b w:val="0"/>
                <w:bCs w:val="0"/>
                <w:color w:val="auto"/>
                <w:sz w:val="24"/>
                <w:szCs w:val="24"/>
                <w:lang w:val="en-US" w:eastAsia="zh-CN"/>
              </w:rPr>
              <w:t>m³/h，配置2台水泵（1用1备）。水泵均安装于泵房内部，泵房采用砖混结构封闭式建筑。</w:t>
            </w:r>
          </w:p>
          <w:p w14:paraId="4E570E1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（2）噪声传播衰减预测</w:t>
            </w:r>
          </w:p>
          <w:p w14:paraId="411817A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以单台水泵运行时噪声源强75dB(A)（距设备1m处）进行预测。泵房墙体隔声量按20dB(A)估算（砖混结构、门窗密闭），则泵房外1m处噪声级约为55dB(A)。采用点声源几何发散衰减模式预测至厂界及敏感点的噪声贡献值：</w:t>
            </w:r>
          </w:p>
          <w:p w14:paraId="18B52663">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L(r)=L(r</w:t>
            </w:r>
            <w:r>
              <w:rPr>
                <w:rFonts w:hint="eastAsia" w:ascii="宋体" w:hAnsi="宋体" w:cs="宋体"/>
                <w:b w:val="0"/>
                <w:bCs w:val="0"/>
                <w:color w:val="auto"/>
                <w:sz w:val="24"/>
                <w:szCs w:val="24"/>
                <w:vertAlign w:val="subscript"/>
                <w:lang w:val="en-US" w:eastAsia="zh-CN"/>
              </w:rPr>
              <w:t>0</w:t>
            </w:r>
            <w:r>
              <w:rPr>
                <w:rFonts w:hint="eastAsia" w:ascii="宋体" w:hAnsi="宋体" w:cs="宋体"/>
                <w:b w:val="0"/>
                <w:bCs w:val="0"/>
                <w:color w:val="auto"/>
                <w:sz w:val="24"/>
                <w:szCs w:val="24"/>
                <w:lang w:val="en-US" w:eastAsia="zh-CN"/>
              </w:rPr>
              <w:t>)-20lg(r/r</w:t>
            </w:r>
            <w:r>
              <w:rPr>
                <w:rFonts w:hint="eastAsia" w:ascii="宋体" w:hAnsi="宋体" w:cs="宋体"/>
                <w:b w:val="0"/>
                <w:bCs w:val="0"/>
                <w:color w:val="auto"/>
                <w:sz w:val="24"/>
                <w:szCs w:val="24"/>
                <w:vertAlign w:val="subscript"/>
                <w:lang w:val="en-US" w:eastAsia="zh-CN"/>
              </w:rPr>
              <w:t>0</w:t>
            </w:r>
            <w:r>
              <w:rPr>
                <w:rFonts w:hint="eastAsia" w:ascii="宋体" w:hAnsi="宋体" w:cs="宋体"/>
                <w:b w:val="0"/>
                <w:bCs w:val="0"/>
                <w:color w:val="auto"/>
                <w:sz w:val="24"/>
                <w:szCs w:val="24"/>
                <w:lang w:val="en-US" w:eastAsia="zh-CN"/>
              </w:rPr>
              <w:t>)</w:t>
            </w:r>
          </w:p>
          <w:p w14:paraId="6616CB4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式中：L(r)——距声源r处的声级，dB(A)；L(r</w:t>
            </w:r>
            <w:r>
              <w:rPr>
                <w:rFonts w:hint="eastAsia" w:ascii="宋体" w:hAnsi="宋体" w:cs="宋体"/>
                <w:b w:val="0"/>
                <w:bCs w:val="0"/>
                <w:color w:val="auto"/>
                <w:sz w:val="24"/>
                <w:szCs w:val="24"/>
                <w:vertAlign w:val="subscript"/>
                <w:lang w:val="en-US" w:eastAsia="zh-CN"/>
              </w:rPr>
              <w:t>0</w:t>
            </w:r>
            <w:r>
              <w:rPr>
                <w:rFonts w:hint="eastAsia" w:ascii="宋体" w:hAnsi="宋体" w:cs="宋体"/>
                <w:b w:val="0"/>
                <w:bCs w:val="0"/>
                <w:color w:val="auto"/>
                <w:sz w:val="24"/>
                <w:szCs w:val="24"/>
                <w:lang w:val="en-US" w:eastAsia="zh-CN"/>
              </w:rPr>
              <w:t>)——距声源r</w:t>
            </w:r>
            <w:r>
              <w:rPr>
                <w:rFonts w:hint="eastAsia" w:ascii="宋体" w:hAnsi="宋体" w:cs="宋体"/>
                <w:b w:val="0"/>
                <w:bCs w:val="0"/>
                <w:color w:val="auto"/>
                <w:sz w:val="24"/>
                <w:szCs w:val="24"/>
                <w:vertAlign w:val="subscript"/>
                <w:lang w:val="en-US" w:eastAsia="zh-CN"/>
              </w:rPr>
              <w:t>0</w:t>
            </w:r>
            <w:r>
              <w:rPr>
                <w:rFonts w:hint="eastAsia" w:ascii="宋体" w:hAnsi="宋体" w:cs="宋体"/>
                <w:b w:val="0"/>
                <w:bCs w:val="0"/>
                <w:color w:val="auto"/>
                <w:sz w:val="24"/>
                <w:szCs w:val="24"/>
                <w:lang w:val="en-US" w:eastAsia="zh-CN"/>
              </w:rPr>
              <w:t>处的声级，dB(A)，取55dB(A)（r</w:t>
            </w:r>
            <w:r>
              <w:rPr>
                <w:rFonts w:hint="eastAsia" w:ascii="宋体" w:hAnsi="宋体" w:cs="宋体"/>
                <w:b w:val="0"/>
                <w:bCs w:val="0"/>
                <w:color w:val="auto"/>
                <w:sz w:val="24"/>
                <w:szCs w:val="24"/>
                <w:vertAlign w:val="subscript"/>
                <w:lang w:val="en-US" w:eastAsia="zh-CN"/>
              </w:rPr>
              <w:t>0</w:t>
            </w:r>
            <w:r>
              <w:rPr>
                <w:rFonts w:hint="eastAsia" w:ascii="宋体" w:hAnsi="宋体" w:cs="宋体"/>
                <w:b w:val="0"/>
                <w:bCs w:val="0"/>
                <w:color w:val="auto"/>
                <w:sz w:val="24"/>
                <w:szCs w:val="24"/>
                <w:lang w:val="en-US" w:eastAsia="zh-CN"/>
              </w:rPr>
              <w:t>=1m）。</w:t>
            </w:r>
          </w:p>
          <w:p w14:paraId="5FB8424E">
            <w:pPr>
              <w:pStyle w:val="19"/>
              <w:keepNext/>
              <w:keepLines w:val="0"/>
              <w:pageBreakBefore w:val="0"/>
              <w:widowControl w:val="0"/>
              <w:kinsoku/>
              <w:wordWrap/>
              <w:overflowPunct/>
              <w:topLinePunct w:val="0"/>
              <w:autoSpaceDE/>
              <w:autoSpaceDN/>
              <w:bidi w:val="0"/>
              <w:adjustRightInd/>
              <w:snapToGrid/>
              <w:spacing w:before="0"/>
              <w:textAlignment w:val="auto"/>
              <w:rPr>
                <w:rFonts w:hint="eastAsia"/>
                <w:b w:val="0"/>
                <w:bCs/>
                <w:color w:val="auto"/>
                <w:lang w:val="en-US" w:eastAsia="zh-CN"/>
              </w:rPr>
            </w:pPr>
            <w:r>
              <w:rPr>
                <w:rFonts w:hint="eastAsia"/>
                <w:b w:val="0"/>
                <w:bCs/>
                <w:color w:val="auto"/>
                <w:lang w:val="en-US" w:eastAsia="zh-CN"/>
              </w:rPr>
              <w:t>表4-3  泵站运行噪声预测表</w:t>
            </w:r>
          </w:p>
          <w:tbl>
            <w:tblPr>
              <w:tblStyle w:val="9"/>
              <w:tblW w:w="8220"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1710"/>
              <w:gridCol w:w="914"/>
              <w:gridCol w:w="914"/>
              <w:gridCol w:w="915"/>
              <w:gridCol w:w="915"/>
              <w:gridCol w:w="915"/>
              <w:gridCol w:w="915"/>
              <w:gridCol w:w="915"/>
            </w:tblGrid>
            <w:tr w14:paraId="4E72673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1980" w:type="dxa"/>
                  <w:tcBorders>
                    <w:tl2br w:val="nil"/>
                    <w:tr2bl w:val="nil"/>
                  </w:tcBorders>
                  <w:shd w:val="clear" w:color="auto" w:fill="auto"/>
                  <w:noWrap/>
                  <w:vAlign w:val="center"/>
                </w:tcPr>
                <w:p w14:paraId="5528E2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距离（m）</w:t>
                  </w:r>
                </w:p>
              </w:tc>
              <w:tc>
                <w:tcPr>
                  <w:tcW w:w="1040" w:type="dxa"/>
                  <w:tcBorders>
                    <w:tl2br w:val="nil"/>
                    <w:tr2bl w:val="nil"/>
                  </w:tcBorders>
                  <w:shd w:val="clear" w:color="auto" w:fill="auto"/>
                  <w:noWrap/>
                  <w:vAlign w:val="center"/>
                </w:tcPr>
                <w:p w14:paraId="6E62DF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5</w:t>
                  </w:r>
                </w:p>
              </w:tc>
              <w:tc>
                <w:tcPr>
                  <w:tcW w:w="1040" w:type="dxa"/>
                  <w:tcBorders>
                    <w:tl2br w:val="nil"/>
                    <w:tr2bl w:val="nil"/>
                  </w:tcBorders>
                  <w:shd w:val="clear" w:color="auto" w:fill="auto"/>
                  <w:noWrap/>
                  <w:vAlign w:val="center"/>
                </w:tcPr>
                <w:p w14:paraId="4CCACF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0</w:t>
                  </w:r>
                </w:p>
              </w:tc>
              <w:tc>
                <w:tcPr>
                  <w:tcW w:w="1040" w:type="dxa"/>
                  <w:tcBorders>
                    <w:tl2br w:val="nil"/>
                    <w:tr2bl w:val="nil"/>
                  </w:tcBorders>
                  <w:shd w:val="clear" w:color="auto" w:fill="auto"/>
                  <w:noWrap/>
                  <w:vAlign w:val="center"/>
                </w:tcPr>
                <w:p w14:paraId="36BCB6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2</w:t>
                  </w:r>
                  <w:r>
                    <w:rPr>
                      <w:rFonts w:hint="eastAsia" w:ascii="宋体" w:hAnsi="宋体" w:eastAsia="宋体" w:cs="宋体"/>
                      <w:i w:val="0"/>
                      <w:iCs w:val="0"/>
                      <w:color w:val="000000"/>
                      <w:kern w:val="0"/>
                      <w:sz w:val="22"/>
                      <w:szCs w:val="22"/>
                      <w:highlight w:val="none"/>
                      <w:u w:val="none"/>
                      <w:lang w:val="en-US" w:eastAsia="zh-CN" w:bidi="ar"/>
                    </w:rPr>
                    <w:t>0</w:t>
                  </w:r>
                </w:p>
              </w:tc>
              <w:tc>
                <w:tcPr>
                  <w:tcW w:w="1040" w:type="dxa"/>
                  <w:tcBorders>
                    <w:tl2br w:val="nil"/>
                    <w:tr2bl w:val="nil"/>
                  </w:tcBorders>
                  <w:shd w:val="clear" w:color="auto" w:fill="auto"/>
                  <w:noWrap/>
                  <w:vAlign w:val="center"/>
                </w:tcPr>
                <w:p w14:paraId="7698DA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3</w:t>
                  </w:r>
                  <w:r>
                    <w:rPr>
                      <w:rFonts w:hint="eastAsia" w:ascii="宋体" w:hAnsi="宋体" w:eastAsia="宋体" w:cs="宋体"/>
                      <w:i w:val="0"/>
                      <w:iCs w:val="0"/>
                      <w:color w:val="000000"/>
                      <w:kern w:val="0"/>
                      <w:sz w:val="22"/>
                      <w:szCs w:val="22"/>
                      <w:highlight w:val="none"/>
                      <w:u w:val="none"/>
                      <w:lang w:val="en-US" w:eastAsia="zh-CN" w:bidi="ar"/>
                    </w:rPr>
                    <w:t>0</w:t>
                  </w:r>
                </w:p>
              </w:tc>
              <w:tc>
                <w:tcPr>
                  <w:tcW w:w="1040" w:type="dxa"/>
                  <w:tcBorders>
                    <w:tl2br w:val="nil"/>
                    <w:tr2bl w:val="nil"/>
                  </w:tcBorders>
                  <w:shd w:val="clear" w:color="auto" w:fill="auto"/>
                  <w:noWrap/>
                  <w:vAlign w:val="center"/>
                </w:tcPr>
                <w:p w14:paraId="2B9B11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5</w:t>
                  </w:r>
                  <w:r>
                    <w:rPr>
                      <w:rFonts w:hint="eastAsia" w:ascii="宋体" w:hAnsi="宋体" w:eastAsia="宋体" w:cs="宋体"/>
                      <w:i w:val="0"/>
                      <w:iCs w:val="0"/>
                      <w:color w:val="000000"/>
                      <w:kern w:val="0"/>
                      <w:sz w:val="22"/>
                      <w:szCs w:val="22"/>
                      <w:highlight w:val="none"/>
                      <w:u w:val="none"/>
                      <w:lang w:val="en-US" w:eastAsia="zh-CN" w:bidi="ar"/>
                    </w:rPr>
                    <w:t>0</w:t>
                  </w:r>
                </w:p>
              </w:tc>
              <w:tc>
                <w:tcPr>
                  <w:tcW w:w="1040" w:type="dxa"/>
                  <w:tcBorders>
                    <w:tl2br w:val="nil"/>
                    <w:tr2bl w:val="nil"/>
                  </w:tcBorders>
                  <w:shd w:val="clear" w:color="auto" w:fill="auto"/>
                  <w:noWrap/>
                  <w:vAlign w:val="center"/>
                </w:tcPr>
                <w:p w14:paraId="09D756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r>
                    <w:rPr>
                      <w:rFonts w:hint="eastAsia" w:ascii="宋体" w:hAnsi="宋体" w:cs="宋体"/>
                      <w:i w:val="0"/>
                      <w:iCs w:val="0"/>
                      <w:color w:val="000000"/>
                      <w:kern w:val="0"/>
                      <w:sz w:val="22"/>
                      <w:szCs w:val="22"/>
                      <w:highlight w:val="none"/>
                      <w:u w:val="none"/>
                      <w:lang w:val="en-US" w:eastAsia="zh-CN" w:bidi="ar"/>
                    </w:rPr>
                    <w:t>0</w:t>
                  </w:r>
                  <w:r>
                    <w:rPr>
                      <w:rFonts w:hint="eastAsia" w:ascii="宋体" w:hAnsi="宋体" w:eastAsia="宋体" w:cs="宋体"/>
                      <w:i w:val="0"/>
                      <w:iCs w:val="0"/>
                      <w:color w:val="000000"/>
                      <w:kern w:val="0"/>
                      <w:sz w:val="22"/>
                      <w:szCs w:val="22"/>
                      <w:highlight w:val="none"/>
                      <w:u w:val="none"/>
                      <w:lang w:val="en-US" w:eastAsia="zh-CN" w:bidi="ar"/>
                    </w:rPr>
                    <w:t>0</w:t>
                  </w:r>
                </w:p>
              </w:tc>
              <w:tc>
                <w:tcPr>
                  <w:tcW w:w="1040" w:type="dxa"/>
                  <w:tcBorders>
                    <w:tl2br w:val="nil"/>
                    <w:tr2bl w:val="nil"/>
                  </w:tcBorders>
                  <w:shd w:val="clear" w:color="auto" w:fill="auto"/>
                  <w:noWrap/>
                  <w:vAlign w:val="center"/>
                </w:tcPr>
                <w:p w14:paraId="10C88C77">
                  <w:pPr>
                    <w:keepNext w:val="0"/>
                    <w:keepLines w:val="0"/>
                    <w:widowControl/>
                    <w:suppressLineNumbers w:val="0"/>
                    <w:jc w:val="center"/>
                    <w:textAlignment w:val="center"/>
                    <w:rPr>
                      <w:rFonts w:hint="default" w:ascii="宋体" w:hAnsi="宋体" w:eastAsia="宋体" w:cs="宋体"/>
                      <w:i w:val="0"/>
                      <w:iCs w:val="0"/>
                      <w:color w:val="000000"/>
                      <w:kern w:val="0"/>
                      <w:sz w:val="22"/>
                      <w:szCs w:val="22"/>
                      <w:highlight w:val="none"/>
                      <w:u w:val="none"/>
                      <w:lang w:val="en-US" w:eastAsia="zh-CN" w:bidi="ar"/>
                    </w:rPr>
                  </w:pPr>
                  <w:r>
                    <w:rPr>
                      <w:rFonts w:hint="eastAsia" w:ascii="宋体" w:hAnsi="宋体" w:cs="宋体"/>
                      <w:i w:val="0"/>
                      <w:iCs w:val="0"/>
                      <w:color w:val="000000"/>
                      <w:kern w:val="0"/>
                      <w:sz w:val="22"/>
                      <w:szCs w:val="22"/>
                      <w:highlight w:val="none"/>
                      <w:u w:val="none"/>
                      <w:lang w:val="en-US" w:eastAsia="zh-CN" w:bidi="ar"/>
                    </w:rPr>
                    <w:t>200</w:t>
                  </w:r>
                </w:p>
              </w:tc>
            </w:tr>
            <w:tr w14:paraId="6143CAA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1980" w:type="dxa"/>
                  <w:tcBorders>
                    <w:tl2br w:val="nil"/>
                    <w:tr2bl w:val="nil"/>
                  </w:tcBorders>
                  <w:shd w:val="clear" w:color="auto" w:fill="auto"/>
                  <w:noWrap/>
                  <w:vAlign w:val="center"/>
                </w:tcPr>
                <w:p w14:paraId="7CCB4F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噪声级dB(A)</w:t>
                  </w:r>
                </w:p>
              </w:tc>
              <w:tc>
                <w:tcPr>
                  <w:tcW w:w="1040" w:type="dxa"/>
                  <w:tcBorders>
                    <w:tl2br w:val="nil"/>
                    <w:tr2bl w:val="nil"/>
                  </w:tcBorders>
                  <w:shd w:val="clear" w:color="auto" w:fill="auto"/>
                  <w:noWrap/>
                  <w:vAlign w:val="center"/>
                </w:tcPr>
                <w:p w14:paraId="072EB6EA">
                  <w:pPr>
                    <w:keepNext w:val="0"/>
                    <w:keepLines w:val="0"/>
                    <w:widowControl/>
                    <w:suppressLineNumbers w:val="0"/>
                    <w:jc w:val="center"/>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cs="宋体"/>
                      <w:i w:val="0"/>
                      <w:iCs w:val="0"/>
                      <w:color w:val="000000"/>
                      <w:kern w:val="0"/>
                      <w:sz w:val="22"/>
                      <w:szCs w:val="22"/>
                      <w:highlight w:val="none"/>
                      <w:u w:val="none"/>
                      <w:lang w:val="en-US" w:eastAsia="zh-CN" w:bidi="ar"/>
                    </w:rPr>
                    <w:t>41</w:t>
                  </w:r>
                </w:p>
              </w:tc>
              <w:tc>
                <w:tcPr>
                  <w:tcW w:w="1040" w:type="dxa"/>
                  <w:tcBorders>
                    <w:tl2br w:val="nil"/>
                    <w:tr2bl w:val="nil"/>
                  </w:tcBorders>
                  <w:shd w:val="clear" w:color="auto" w:fill="auto"/>
                  <w:noWrap/>
                  <w:vAlign w:val="center"/>
                </w:tcPr>
                <w:p w14:paraId="55F8CD0B">
                  <w:pPr>
                    <w:keepNext w:val="0"/>
                    <w:keepLines w:val="0"/>
                    <w:widowControl/>
                    <w:suppressLineNumbers w:val="0"/>
                    <w:jc w:val="center"/>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cs="宋体"/>
                      <w:i w:val="0"/>
                      <w:iCs w:val="0"/>
                      <w:color w:val="000000"/>
                      <w:kern w:val="0"/>
                      <w:sz w:val="22"/>
                      <w:szCs w:val="22"/>
                      <w:highlight w:val="none"/>
                      <w:u w:val="none"/>
                      <w:lang w:val="en-US" w:eastAsia="zh-CN" w:bidi="ar"/>
                    </w:rPr>
                    <w:t>35</w:t>
                  </w:r>
                </w:p>
              </w:tc>
              <w:tc>
                <w:tcPr>
                  <w:tcW w:w="1040" w:type="dxa"/>
                  <w:tcBorders>
                    <w:tl2br w:val="nil"/>
                    <w:tr2bl w:val="nil"/>
                  </w:tcBorders>
                  <w:shd w:val="clear" w:color="auto" w:fill="auto"/>
                  <w:noWrap/>
                  <w:vAlign w:val="center"/>
                </w:tcPr>
                <w:p w14:paraId="41836281">
                  <w:pPr>
                    <w:keepNext w:val="0"/>
                    <w:keepLines w:val="0"/>
                    <w:widowControl/>
                    <w:suppressLineNumbers w:val="0"/>
                    <w:jc w:val="center"/>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cs="宋体"/>
                      <w:i w:val="0"/>
                      <w:iCs w:val="0"/>
                      <w:color w:val="000000"/>
                      <w:kern w:val="0"/>
                      <w:sz w:val="22"/>
                      <w:szCs w:val="22"/>
                      <w:highlight w:val="none"/>
                      <w:u w:val="none"/>
                      <w:lang w:val="en-US" w:eastAsia="zh-CN" w:bidi="ar"/>
                    </w:rPr>
                    <w:t>29</w:t>
                  </w:r>
                </w:p>
              </w:tc>
              <w:tc>
                <w:tcPr>
                  <w:tcW w:w="1040" w:type="dxa"/>
                  <w:tcBorders>
                    <w:tl2br w:val="nil"/>
                    <w:tr2bl w:val="nil"/>
                  </w:tcBorders>
                  <w:shd w:val="clear" w:color="auto" w:fill="auto"/>
                  <w:noWrap/>
                  <w:vAlign w:val="center"/>
                </w:tcPr>
                <w:p w14:paraId="17BDE009">
                  <w:pPr>
                    <w:keepNext w:val="0"/>
                    <w:keepLines w:val="0"/>
                    <w:widowControl/>
                    <w:suppressLineNumbers w:val="0"/>
                    <w:jc w:val="center"/>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cs="宋体"/>
                      <w:i w:val="0"/>
                      <w:iCs w:val="0"/>
                      <w:color w:val="000000"/>
                      <w:kern w:val="0"/>
                      <w:sz w:val="22"/>
                      <w:szCs w:val="22"/>
                      <w:highlight w:val="none"/>
                      <w:u w:val="none"/>
                      <w:lang w:val="en-US" w:eastAsia="zh-CN" w:bidi="ar"/>
                    </w:rPr>
                    <w:t>25</w:t>
                  </w:r>
                </w:p>
              </w:tc>
              <w:tc>
                <w:tcPr>
                  <w:tcW w:w="1040" w:type="dxa"/>
                  <w:tcBorders>
                    <w:tl2br w:val="nil"/>
                    <w:tr2bl w:val="nil"/>
                  </w:tcBorders>
                  <w:shd w:val="clear" w:color="auto" w:fill="auto"/>
                  <w:noWrap/>
                  <w:vAlign w:val="center"/>
                </w:tcPr>
                <w:p w14:paraId="5CD0BDA1">
                  <w:pPr>
                    <w:keepNext w:val="0"/>
                    <w:keepLines w:val="0"/>
                    <w:widowControl/>
                    <w:suppressLineNumbers w:val="0"/>
                    <w:jc w:val="center"/>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cs="宋体"/>
                      <w:i w:val="0"/>
                      <w:iCs w:val="0"/>
                      <w:color w:val="000000"/>
                      <w:kern w:val="0"/>
                      <w:sz w:val="22"/>
                      <w:szCs w:val="22"/>
                      <w:highlight w:val="none"/>
                      <w:u w:val="none"/>
                      <w:lang w:val="en-US" w:eastAsia="zh-CN" w:bidi="ar"/>
                    </w:rPr>
                    <w:t>21</w:t>
                  </w:r>
                </w:p>
              </w:tc>
              <w:tc>
                <w:tcPr>
                  <w:tcW w:w="1040" w:type="dxa"/>
                  <w:tcBorders>
                    <w:tl2br w:val="nil"/>
                    <w:tr2bl w:val="nil"/>
                  </w:tcBorders>
                  <w:shd w:val="clear" w:color="auto" w:fill="auto"/>
                  <w:noWrap/>
                  <w:vAlign w:val="center"/>
                </w:tcPr>
                <w:p w14:paraId="0CD3D1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5</w:t>
                  </w:r>
                </w:p>
              </w:tc>
              <w:tc>
                <w:tcPr>
                  <w:tcW w:w="1040" w:type="dxa"/>
                  <w:tcBorders>
                    <w:tl2br w:val="nil"/>
                    <w:tr2bl w:val="nil"/>
                  </w:tcBorders>
                  <w:shd w:val="clear" w:color="auto" w:fill="auto"/>
                  <w:noWrap/>
                  <w:vAlign w:val="center"/>
                </w:tcPr>
                <w:p w14:paraId="69ED860B">
                  <w:pPr>
                    <w:keepNext w:val="0"/>
                    <w:keepLines w:val="0"/>
                    <w:widowControl/>
                    <w:suppressLineNumbers w:val="0"/>
                    <w:jc w:val="center"/>
                    <w:textAlignment w:val="center"/>
                    <w:rPr>
                      <w:rFonts w:hint="default" w:ascii="宋体" w:hAnsi="宋体" w:cs="宋体"/>
                      <w:i w:val="0"/>
                      <w:iCs w:val="0"/>
                      <w:color w:val="000000"/>
                      <w:kern w:val="0"/>
                      <w:sz w:val="22"/>
                      <w:szCs w:val="22"/>
                      <w:highlight w:val="none"/>
                      <w:u w:val="none"/>
                      <w:lang w:val="en-US" w:eastAsia="zh-CN" w:bidi="ar"/>
                    </w:rPr>
                  </w:pPr>
                  <w:r>
                    <w:rPr>
                      <w:rFonts w:hint="eastAsia" w:ascii="宋体" w:hAnsi="宋体" w:cs="宋体"/>
                      <w:i w:val="0"/>
                      <w:iCs w:val="0"/>
                      <w:color w:val="000000"/>
                      <w:kern w:val="0"/>
                      <w:sz w:val="22"/>
                      <w:szCs w:val="22"/>
                      <w:highlight w:val="none"/>
                      <w:u w:val="none"/>
                      <w:lang w:val="en-US" w:eastAsia="zh-CN" w:bidi="ar"/>
                    </w:rPr>
                    <w:t>9</w:t>
                  </w:r>
                </w:p>
              </w:tc>
            </w:tr>
          </w:tbl>
          <w:p w14:paraId="206AA1B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（3）达标性分析</w:t>
            </w:r>
          </w:p>
          <w:p w14:paraId="0A8151E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根据报告表附图，泵站选址位于仓田村，周边最近敏感点距离泵超过200m。由预测结果可知，泵站运行噪声在200m处贡献值约9.0dB(A)，叠加背景噪声（昼间约50.5dB(A)，夜间约41.6dB(A)）后，厂界及敏感点噪声可满足《工业企业厂界环境噪声排放标准》（GB12348-2008）中2类标准（昼间60dB(A)、夜间50dB(A)）。各敏感点距离泵站距离超过200m，因此运营期噪声对居民影响小。</w:t>
            </w:r>
          </w:p>
          <w:p w14:paraId="07C1FE0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（4）噪声防治措施</w:t>
            </w:r>
          </w:p>
          <w:p w14:paraId="5AC18F8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①设备选型：选用低噪声、低振动的水泵，优先采用潜水式水泵或配置隔声罩。</w:t>
            </w:r>
          </w:p>
          <w:p w14:paraId="148A2B9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②基础减振：水泵安装在坚固的混凝土基础上，设备与基础之间设置橡胶减振垫或弹簧减振器，进出口管道采用柔性橡胶接头连接，减少振动传递。</w:t>
            </w:r>
          </w:p>
          <w:p w14:paraId="687DB35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③泵房隔声：泵房采用实心砖墙结构（厚度≥240mm），门窗采用隔声门窗（隔声量≥25dB(A)）。泵房内墙面可加装吸声材料（如聚氨酯泡沫、玻璃棉板等）。</w:t>
            </w:r>
          </w:p>
          <w:p w14:paraId="0F261BB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④运行管理：设备定期维护保养，防止因设备故障产生异常噪声；尽量安排在昼间供水高峰期运行，夜间减少不必要的启停。</w:t>
            </w:r>
          </w:p>
          <w:p w14:paraId="32E467B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结论：在采取上述措施后，泵站运行噪声对周边居民影响很小，声环境可满足相应标准要求。</w:t>
            </w:r>
          </w:p>
          <w:p w14:paraId="7D17902E">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cs="宋体"/>
                <w:b/>
                <w:bCs/>
                <w:color w:val="auto"/>
                <w:sz w:val="24"/>
                <w:szCs w:val="24"/>
                <w:lang w:val="en-US" w:eastAsia="zh-CN"/>
              </w:rPr>
            </w:pPr>
            <w:r>
              <w:rPr>
                <w:rFonts w:hint="eastAsia" w:ascii="宋体" w:hAnsi="宋体" w:cs="宋体"/>
                <w:b/>
                <w:bCs/>
                <w:color w:val="auto"/>
                <w:sz w:val="24"/>
                <w:szCs w:val="24"/>
                <w:lang w:val="en-US" w:eastAsia="zh-CN"/>
              </w:rPr>
              <w:t>2、运营期固体废物影响分析</w:t>
            </w:r>
          </w:p>
          <w:p w14:paraId="285E5E1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运营期固体废物主要为泵站格栅拦截的栅渣（少量）和设备维护产生的危险废物。</w:t>
            </w:r>
          </w:p>
          <w:p w14:paraId="33F39F7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（1）栅渣</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900-001-S64</w:t>
            </w:r>
            <w:r>
              <w:rPr>
                <w:rFonts w:hint="eastAsia" w:ascii="宋体" w:hAnsi="宋体" w:cs="宋体"/>
                <w:color w:val="auto"/>
                <w:sz w:val="24"/>
                <w:szCs w:val="24"/>
                <w:lang w:eastAsia="zh-CN"/>
              </w:rPr>
              <w:t>）</w:t>
            </w:r>
          </w:p>
          <w:p w14:paraId="7B5D850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防洪除涝工程进水端设有粗格栅，用于拦截水中较大的树枝、树叶等杂物。栅渣产生量较小，根据同类设施运行经验，栅渣产生量约</w:t>
            </w:r>
            <w:r>
              <w:rPr>
                <w:rFonts w:hint="default" w:ascii="Times New Roman" w:hAnsi="Times New Roman" w:cs="Times New Roman"/>
                <w:b w:val="0"/>
                <w:bCs w:val="0"/>
                <w:color w:val="auto"/>
                <w:sz w:val="24"/>
                <w:szCs w:val="24"/>
                <w:lang w:val="en-US" w:eastAsia="zh-CN"/>
              </w:rPr>
              <w:t>0.5~3.0</w:t>
            </w:r>
            <w:r>
              <w:rPr>
                <w:rFonts w:hint="eastAsia" w:ascii="宋体" w:hAnsi="宋体" w:cs="宋体"/>
                <w:b w:val="0"/>
                <w:bCs w:val="0"/>
                <w:color w:val="auto"/>
                <w:sz w:val="24"/>
                <w:szCs w:val="24"/>
                <w:lang w:val="en-US" w:eastAsia="zh-CN"/>
              </w:rPr>
              <w:t>t/a。</w:t>
            </w:r>
          </w:p>
          <w:p w14:paraId="7F2777F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处置措施：定期（每周或每半月）清理栅渣，集中收集后交由当地环卫部门统一清运处置。不得在现场长时间堆放，避免腐烂产生异味或滋生蚊虫。</w:t>
            </w:r>
          </w:p>
          <w:p w14:paraId="67F2462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（2）设备维护危险废物</w:t>
            </w:r>
          </w:p>
          <w:p w14:paraId="118CC01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供水泵站运营期间，设备维护保养（如更换润滑油、维修水泵等）将产生废机油、废润滑油、含油抹布及手套等危险废物。根据《国家危险废物名录》（2025年版），废机油、废润滑油属于HW08废矿物油类，废物代码900-214-08；含油抹布属于HW49其他废物，废物代码900-041-49。</w:t>
            </w:r>
          </w:p>
          <w:p w14:paraId="417D500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处置措施：本项目不自行维修保养设备，所有维护工作均委托具有相应资质的专业公司负责。委托合同中应明确约定：维护产生的废机油、废润滑油、含油抹布等危险废物由维护单位及时清理、分类收集，并按照《危险废物贮存污染控制标准》（GB18597-2023）和《危险废物转移管理办法》的要求，交由有资质的单位处置，不得在泵站现场存放或随意丢弃。</w:t>
            </w:r>
          </w:p>
          <w:p w14:paraId="41503B5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color w:val="auto"/>
                <w:sz w:val="24"/>
                <w:szCs w:val="24"/>
                <w:lang w:eastAsia="zh-CN"/>
              </w:rPr>
            </w:pPr>
            <w:r>
              <w:rPr>
                <w:rFonts w:hint="eastAsia" w:ascii="宋体" w:hAnsi="宋体" w:eastAsia="宋体" w:cs="宋体"/>
                <w:color w:val="auto"/>
                <w:sz w:val="24"/>
                <w:szCs w:val="24"/>
                <w:lang w:eastAsia="zh-CN"/>
              </w:rPr>
              <w:t>（3）清淤淤泥</w:t>
            </w:r>
            <w:r>
              <w:rPr>
                <w:rFonts w:hint="eastAsia" w:ascii="宋体" w:hAnsi="宋体" w:cs="宋体"/>
                <w:color w:val="auto"/>
                <w:sz w:val="24"/>
                <w:szCs w:val="24"/>
                <w:lang w:eastAsia="zh-CN"/>
              </w:rPr>
              <w:t>（</w:t>
            </w:r>
            <w:r>
              <w:rPr>
                <w:rFonts w:hint="eastAsia" w:ascii="宋体" w:hAnsi="宋体" w:cs="宋体"/>
                <w:color w:val="auto"/>
                <w:sz w:val="24"/>
                <w:szCs w:val="24"/>
                <w:lang w:val="en-US" w:eastAsia="zh-CN"/>
              </w:rPr>
              <w:t>900-001-S72</w:t>
            </w:r>
            <w:r>
              <w:rPr>
                <w:rFonts w:hint="eastAsia" w:ascii="宋体" w:hAnsi="宋体" w:cs="宋体"/>
                <w:color w:val="auto"/>
                <w:sz w:val="24"/>
                <w:szCs w:val="24"/>
                <w:lang w:eastAsia="zh-CN"/>
              </w:rPr>
              <w:t>）</w:t>
            </w:r>
          </w:p>
          <w:p w14:paraId="50537BF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color w:val="auto"/>
                <w:sz w:val="24"/>
                <w:szCs w:val="24"/>
                <w:lang w:eastAsia="zh-CN"/>
              </w:rPr>
              <w:t>排洪管道要经常性</w:t>
            </w:r>
            <w:r>
              <w:rPr>
                <w:rFonts w:hint="eastAsia" w:ascii="宋体" w:hAnsi="宋体" w:eastAsia="宋体" w:cs="宋体"/>
                <w:color w:val="auto"/>
                <w:sz w:val="24"/>
                <w:szCs w:val="24"/>
                <w:lang w:eastAsia="zh-CN"/>
              </w:rPr>
              <w:t>清淤，估算</w:t>
            </w:r>
            <w:r>
              <w:rPr>
                <w:rFonts w:hint="eastAsia" w:ascii="宋体" w:hAnsi="宋体" w:cs="宋体"/>
                <w:color w:val="auto"/>
                <w:sz w:val="24"/>
                <w:szCs w:val="24"/>
                <w:lang w:eastAsia="zh-CN"/>
              </w:rPr>
              <w:t>年</w:t>
            </w:r>
            <w:r>
              <w:rPr>
                <w:rFonts w:hint="eastAsia" w:ascii="宋体" w:hAnsi="宋体" w:eastAsia="宋体" w:cs="宋体"/>
                <w:color w:val="auto"/>
                <w:sz w:val="24"/>
                <w:szCs w:val="24"/>
                <w:lang w:eastAsia="zh-CN"/>
              </w:rPr>
              <w:t>清淤量约</w:t>
            </w:r>
            <w:r>
              <w:rPr>
                <w:rFonts w:hint="eastAsia" w:ascii="宋体" w:hAnsi="宋体" w:cs="宋体"/>
                <w:color w:val="auto"/>
                <w:sz w:val="24"/>
                <w:szCs w:val="24"/>
                <w:lang w:val="en-US" w:eastAsia="zh-CN"/>
              </w:rPr>
              <w:t>20</w:t>
            </w:r>
            <w:r>
              <w:rPr>
                <w:rFonts w:hint="eastAsia" w:ascii="宋体" w:hAnsi="宋体" w:eastAsia="宋体" w:cs="宋体"/>
                <w:color w:val="auto"/>
                <w:sz w:val="24"/>
                <w:szCs w:val="24"/>
                <w:lang w:eastAsia="zh-CN"/>
              </w:rPr>
              <w:t>0m³</w:t>
            </w:r>
            <w:r>
              <w:rPr>
                <w:rFonts w:hint="eastAsia" w:ascii="宋体" w:hAnsi="宋体" w:cs="宋体"/>
                <w:color w:val="auto"/>
                <w:sz w:val="24"/>
                <w:szCs w:val="24"/>
                <w:lang w:eastAsia="zh-CN"/>
              </w:rPr>
              <w:t>，</w:t>
            </w:r>
            <w:r>
              <w:rPr>
                <w:rFonts w:hint="eastAsia" w:ascii="宋体" w:hAnsi="宋体" w:eastAsia="宋体" w:cs="宋体"/>
                <w:color w:val="auto"/>
                <w:sz w:val="24"/>
                <w:szCs w:val="24"/>
                <w:lang w:eastAsia="zh-CN"/>
              </w:rPr>
              <w:t>清淤淤泥经自然晾晒或机械脱水后，交岳阳楼区市政部门统一处理，不得随意倾倒或堆放。清淤作业应做到“即清即运”，减少淤泥在场地的存放时间。</w:t>
            </w:r>
          </w:p>
          <w:p w14:paraId="3B3A2B2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建设单位应建立固体废物管理台账，记录栅渣清运、设备维护及危险废物转移等情况，留存委托合同及转移联单备查。</w:t>
            </w:r>
          </w:p>
          <w:p w14:paraId="77A3775E">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cs="宋体"/>
                <w:b/>
                <w:bCs/>
                <w:color w:val="auto"/>
                <w:sz w:val="24"/>
                <w:szCs w:val="24"/>
                <w:lang w:val="en-US" w:eastAsia="zh-CN"/>
              </w:rPr>
            </w:pPr>
            <w:r>
              <w:rPr>
                <w:rFonts w:hint="eastAsia" w:ascii="宋体" w:hAnsi="宋体" w:cs="宋体"/>
                <w:b/>
                <w:bCs/>
                <w:color w:val="auto"/>
                <w:sz w:val="24"/>
                <w:szCs w:val="24"/>
                <w:lang w:val="en-US" w:eastAsia="zh-CN"/>
              </w:rPr>
              <w:t>3、运营期水环境影响分析</w:t>
            </w:r>
          </w:p>
          <w:p w14:paraId="7D977B2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（1）防洪排涝工程</w:t>
            </w:r>
          </w:p>
          <w:p w14:paraId="5945CE8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本项目运营期，新建雨水管道及排水管沟正常运行时仅输送雨水，不产生污染物。雨水径流经管道收集后分别排入王家河（巴陵路排水）、下游排水系统（新天地排水等）和市政雨水管网。</w:t>
            </w:r>
          </w:p>
          <w:p w14:paraId="1C23DD9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正面效益：本工程实施后，城市排水系统能力提升，可有效减少城市内涝和渍水现象，降低暴雨期间污水溢流进入受纳水体的风险，从而对王家河、南湖等受纳水体的水环境质量产生积极改善作用。内涝防治标准达到30年一遇，显著降低积涝点积水深度和积水时间，减少居民财产损失和公共卫生风险。</w:t>
            </w:r>
          </w:p>
          <w:p w14:paraId="6E76B47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（2）给水工程</w:t>
            </w:r>
          </w:p>
          <w:p w14:paraId="533E71B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运营期给水管道输送符合《生活饮用水卫生标准》（GB5749-2022）的自来水，管道为全封闭系统，正常运行条件下无废水排放。给水工程实施后，替代了部分居民自备井水或分散式供水，提高了供水水质安全保障水平，从源头上减少了因饮用不安全水可能引发的健康风险。同时，配套建设的加压泵站运行过程不产生废水，对水环境无不利影响。</w:t>
            </w:r>
          </w:p>
          <w:p w14:paraId="31338F8B">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cs="宋体"/>
                <w:b/>
                <w:bCs/>
                <w:color w:val="auto"/>
                <w:sz w:val="24"/>
                <w:szCs w:val="24"/>
                <w:lang w:val="en-US" w:eastAsia="zh-CN"/>
              </w:rPr>
            </w:pPr>
            <w:r>
              <w:rPr>
                <w:rFonts w:hint="eastAsia" w:ascii="宋体" w:hAnsi="宋体" w:cs="宋体"/>
                <w:b/>
                <w:bCs/>
                <w:color w:val="auto"/>
                <w:sz w:val="24"/>
                <w:szCs w:val="24"/>
                <w:lang w:val="en-US" w:eastAsia="zh-CN"/>
              </w:rPr>
              <w:t>4、运营期生态环境正面效益分析</w:t>
            </w:r>
          </w:p>
          <w:p w14:paraId="68A9C2C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本项目属于城市基础设施和民生工程，运营期生态环境正面效益主要体现在：</w:t>
            </w:r>
          </w:p>
          <w:p w14:paraId="5CFCB7B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①内涝防治效益：通过新建雨水管道、清淤及沟渠修复，系统解决岳阳楼区10处积涝点内涝问题，保护约1.2万余户居民（约4万人）的生命财产安全，减少因积水造成的交通中断、供电设施受损等次生灾害。</w:t>
            </w:r>
          </w:p>
          <w:p w14:paraId="7F3B768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②供水安全保障效益：新建供水管道99.48km，解决梅溪街道、郭镇乡、康王乡约3803户（约1.33万人）居民的安全饮水问题，减少因分散取水可能造成的水源地生态扰动，促进城乡供水一体化。</w:t>
            </w:r>
          </w:p>
          <w:p w14:paraId="54145E0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③减少溢流污染：完善城市排水系统后，可显著减少合流制管道在暴雨期间的生活污水溢流，降低对受纳水体（王家河、南湖）的污染物输入负荷，具有间接的水环境改善效益。</w:t>
            </w:r>
          </w:p>
          <w:p w14:paraId="25F1E98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④改善人居环境：工程实施后，有效消除道路积水、污水漫溢等环境问题，减少病媒生物滋生环境，提升城市人居环境质量。</w:t>
            </w:r>
          </w:p>
          <w:p w14:paraId="54B9F905">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cs="宋体"/>
                <w:b/>
                <w:bCs/>
                <w:color w:val="auto"/>
                <w:sz w:val="24"/>
                <w:szCs w:val="24"/>
                <w:lang w:val="en-US" w:eastAsia="zh-CN"/>
              </w:rPr>
            </w:pPr>
            <w:r>
              <w:rPr>
                <w:rFonts w:hint="eastAsia" w:ascii="宋体" w:hAnsi="宋体" w:cs="宋体"/>
                <w:b/>
                <w:bCs/>
                <w:color w:val="auto"/>
                <w:sz w:val="24"/>
                <w:szCs w:val="24"/>
                <w:lang w:val="en-US" w:eastAsia="zh-CN"/>
              </w:rPr>
              <w:t>5、运营期环境风险分析</w:t>
            </w:r>
          </w:p>
          <w:p w14:paraId="09FBB77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运营期环境风险较低，主要包括：</w:t>
            </w:r>
          </w:p>
          <w:p w14:paraId="2B6B21D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（1）雨水管道破裂或堵塞风险</w:t>
            </w:r>
          </w:p>
          <w:p w14:paraId="29C6F17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若因地面沉降、管道老化或异物堵塞导致雨水管道破损，雨水可能外溢造成局部积水或水土流失。</w:t>
            </w:r>
          </w:p>
          <w:p w14:paraId="3F31526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防范措施：运营期建立管道巡查制度，定期对雨水管道、检查井进行清疏维护，利用CCTV（闭路电视）检测技术定期检查管道结构状况，发现破损及时修复。</w:t>
            </w:r>
          </w:p>
          <w:p w14:paraId="65282D1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（2）给水管道爆管风险</w:t>
            </w:r>
          </w:p>
          <w:p w14:paraId="018D3B6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给水管道运行压力下（工作压力0.4</w:t>
            </w:r>
            <w:r>
              <w:rPr>
                <w:rFonts w:hint="default" w:ascii="Times New Roman" w:hAnsi="Times New Roman" w:cs="Times New Roman"/>
                <w:b w:val="0"/>
                <w:bCs w:val="0"/>
                <w:color w:val="auto"/>
                <w:sz w:val="24"/>
                <w:szCs w:val="24"/>
                <w:lang w:val="en-US" w:eastAsia="zh-CN"/>
              </w:rPr>
              <w:t>~</w:t>
            </w:r>
            <w:r>
              <w:rPr>
                <w:rFonts w:hint="eastAsia" w:ascii="宋体" w:hAnsi="宋体" w:cs="宋体"/>
                <w:b w:val="0"/>
                <w:bCs w:val="0"/>
                <w:color w:val="auto"/>
                <w:sz w:val="24"/>
                <w:szCs w:val="24"/>
                <w:lang w:val="en-US" w:eastAsia="zh-CN"/>
              </w:rPr>
              <w:t>0.6MPa），若管材质量缺陷或外部施工破坏，可能发生爆管事故，造成水资源浪费和局部冲刷。</w:t>
            </w:r>
          </w:p>
          <w:p w14:paraId="14F20C6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防范措施：选用优质管材（球墨铸铁管、涂塑钢管），严格按照规范施工；运营期建立分区压力监测系统，发现异常压力及时排查；与市政管理单位建立联动机制，防止第三方施工破坏。</w:t>
            </w:r>
          </w:p>
          <w:p w14:paraId="4A7C579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（3）泵站设备故障风险</w:t>
            </w:r>
          </w:p>
          <w:p w14:paraId="62C740F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若泵站供电中断或设备故障，可能导致供水水压不足甚至停水，影响居民正常用水，但不涉及环境污染。</w:t>
            </w:r>
          </w:p>
          <w:p w14:paraId="4ADD5F4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cs="宋体"/>
                <w:b w:val="0"/>
                <w:bCs w:val="0"/>
                <w:color w:val="auto"/>
                <w:sz w:val="24"/>
                <w:szCs w:val="24"/>
                <w:lang w:val="en-US" w:eastAsia="zh-CN"/>
              </w:rPr>
            </w:pPr>
            <w:r>
              <w:rPr>
                <w:rFonts w:hint="eastAsia" w:ascii="宋体" w:hAnsi="宋体" w:cs="宋体"/>
                <w:b w:val="0"/>
                <w:bCs w:val="0"/>
                <w:color w:val="auto"/>
                <w:sz w:val="24"/>
                <w:szCs w:val="24"/>
                <w:lang w:val="en-US" w:eastAsia="zh-CN"/>
              </w:rPr>
              <w:t>防范措施：泵站设置双回路供电或备用发电机；关键设备（水泵、控制系统）一用一备；建立24小时值班或远程监控系统，确保故障及时发现和修复。</w:t>
            </w:r>
          </w:p>
          <w:p w14:paraId="105E7C6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color w:val="FF0000"/>
                <w:sz w:val="24"/>
                <w:lang w:val="en-US" w:eastAsia="zh-CN"/>
              </w:rPr>
            </w:pPr>
            <w:r>
              <w:rPr>
                <w:rFonts w:hint="eastAsia" w:ascii="宋体" w:hAnsi="宋体" w:cs="宋体"/>
                <w:b w:val="0"/>
                <w:bCs w:val="0"/>
                <w:color w:val="auto"/>
                <w:sz w:val="24"/>
                <w:szCs w:val="24"/>
                <w:lang w:val="en-US" w:eastAsia="zh-CN"/>
              </w:rPr>
              <w:t>本项目运营期主要环境影响为加压泵站运行噪声和少量固体废物。在落实低噪声设备选型、基础减振、泵房隔声等噪声控制措施，以及栅渣定期清运、危险废物由专业维护单位带走处置等固废管理措施后，运营期对周边环境的影响很小，可控制在可接受范围内。项目的生态环境正面效益显著，内涝防治和水安全保障效益突出，从环境保护角度分析，项目运营可行。</w:t>
            </w:r>
          </w:p>
        </w:tc>
      </w:tr>
      <w:tr w14:paraId="367A08E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49" w:type="dxa"/>
            <w:tcMar>
              <w:left w:w="28" w:type="dxa"/>
              <w:right w:w="28" w:type="dxa"/>
            </w:tcMar>
            <w:vAlign w:val="center"/>
          </w:tcPr>
          <w:p w14:paraId="2D07CF7C">
            <w:pPr>
              <w:adjustRightInd w:val="0"/>
              <w:snapToGrid w:val="0"/>
              <w:jc w:val="center"/>
              <w:rPr>
                <w:rFonts w:hint="default" w:ascii="宋体" w:hAnsi="宋体" w:eastAsia="宋体" w:cs="宋体"/>
                <w:bCs/>
                <w:color w:val="FF0000"/>
                <w:sz w:val="24"/>
                <w:szCs w:val="24"/>
                <w:lang w:val="en-US" w:eastAsia="zh-CN"/>
              </w:rPr>
            </w:pPr>
            <w:r>
              <w:rPr>
                <w:rFonts w:hint="eastAsia" w:ascii="宋体" w:hAnsi="宋体" w:cs="宋体"/>
                <w:bCs/>
                <w:color w:val="auto"/>
                <w:sz w:val="24"/>
                <w:szCs w:val="24"/>
                <w:lang w:val="en-US" w:eastAsia="zh-CN"/>
              </w:rPr>
              <w:t>选址选线环境合理性分析</w:t>
            </w:r>
          </w:p>
        </w:tc>
        <w:tc>
          <w:tcPr>
            <w:tcW w:w="8359" w:type="dxa"/>
            <w:vAlign w:val="center"/>
          </w:tcPr>
          <w:p w14:paraId="3D294A27">
            <w:pPr>
              <w:widowControl/>
              <w:snapToGrid w:val="0"/>
              <w:spacing w:line="360" w:lineRule="auto"/>
              <w:ind w:firstLine="482" w:firstLineChars="200"/>
              <w:rPr>
                <w:rFonts w:hint="eastAsia" w:ascii="宋体" w:hAnsi="宋体" w:eastAsia="宋体" w:cs="宋体"/>
                <w:b/>
                <w:bCs/>
                <w:color w:val="auto"/>
                <w:sz w:val="24"/>
                <w:lang w:val="en-US" w:eastAsia="zh-CN"/>
              </w:rPr>
            </w:pPr>
            <w:r>
              <w:rPr>
                <w:rFonts w:hint="eastAsia" w:ascii="宋体" w:hAnsi="宋体" w:eastAsia="宋体" w:cs="宋体"/>
                <w:b/>
                <w:bCs/>
                <w:color w:val="auto"/>
                <w:sz w:val="24"/>
                <w:lang w:val="en-US" w:eastAsia="zh-CN"/>
              </w:rPr>
              <w:t>1、防洪排涝工程选址选线合理性分析</w:t>
            </w:r>
          </w:p>
          <w:p w14:paraId="2E053997">
            <w:pPr>
              <w:widowControl/>
              <w:snapToGrid w:val="0"/>
              <w:spacing w:line="360" w:lineRule="auto"/>
              <w:ind w:firstLine="480" w:firstLineChars="200"/>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本项目防洪排涝工程包括新建DN2600雨水管道1686m（巴陵路段1450m、新天地段220m）、新建排水管沟1110m、清淤1350m，分布于洛王街道、金鹗山街道、枫桥湖街道、王家河街道等城区范围。</w:t>
            </w:r>
          </w:p>
          <w:p w14:paraId="79AE2BA1">
            <w:pPr>
              <w:widowControl/>
              <w:snapToGrid w:val="0"/>
              <w:spacing w:line="360" w:lineRule="auto"/>
              <w:ind w:firstLine="480" w:firstLineChars="200"/>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选线唯一性：巴陵路（琵琶王立交-王家河）雨水管道沿巴陵路南侧辅道敷设，终点排入王家河。该线路为现状道路，是连接上游汇水区与下游受纳水体的最短、最直接路径，管位受道路红线、地下管线综合走廊及现有排水出口位置制约，选线具有唯一性。新天地段雨水管道在原有坍塌管位处重建，选线唯一。排水管沟清淤及修复均在现有沟渠位置进行，无选线比选空间。</w:t>
            </w:r>
          </w:p>
          <w:p w14:paraId="1218589A">
            <w:pPr>
              <w:widowControl/>
              <w:snapToGrid w:val="0"/>
              <w:spacing w:line="360" w:lineRule="auto"/>
              <w:ind w:firstLine="480" w:firstLineChars="200"/>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环境合理性：工程全部位于既有道路及居民区内，不新增永久占地，不占用自然保护区、风景名胜区、生态保护红线、永久基本农田等环境敏感区。根据报告表“专项评价设置情况”及“与最近水源保护区位置关系”分析，项目距离岳阳楼区栏桥水库、伍家洞水库、铁山水库等饮用水水源地较远，不在水源保护区汇水范围内，不存在环境制约因素。</w:t>
            </w:r>
          </w:p>
          <w:p w14:paraId="64424C4B">
            <w:pPr>
              <w:widowControl/>
              <w:snapToGrid w:val="0"/>
              <w:spacing w:line="360" w:lineRule="auto"/>
              <w:ind w:firstLine="482" w:firstLineChars="200"/>
              <w:rPr>
                <w:rFonts w:hint="eastAsia" w:ascii="宋体" w:hAnsi="宋体" w:eastAsia="宋体" w:cs="宋体"/>
                <w:b/>
                <w:bCs/>
                <w:color w:val="auto"/>
                <w:sz w:val="24"/>
                <w:lang w:val="en-US" w:eastAsia="zh-CN"/>
              </w:rPr>
            </w:pPr>
            <w:r>
              <w:rPr>
                <w:rFonts w:hint="eastAsia" w:ascii="宋体" w:hAnsi="宋体" w:eastAsia="宋体" w:cs="宋体"/>
                <w:b/>
                <w:bCs/>
                <w:color w:val="auto"/>
                <w:sz w:val="24"/>
                <w:lang w:val="en-US" w:eastAsia="zh-CN"/>
              </w:rPr>
              <w:t>2、给水工程选址选线合理性分析</w:t>
            </w:r>
          </w:p>
          <w:p w14:paraId="4FFAF9E9">
            <w:pPr>
              <w:widowControl/>
              <w:snapToGrid w:val="0"/>
              <w:spacing w:line="360" w:lineRule="auto"/>
              <w:ind w:firstLine="480" w:firstLineChars="200"/>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（1）给水管道选线</w:t>
            </w:r>
          </w:p>
          <w:p w14:paraId="56AA5470">
            <w:pPr>
              <w:widowControl/>
              <w:snapToGrid w:val="0"/>
              <w:spacing w:line="360" w:lineRule="auto"/>
              <w:ind w:firstLine="480" w:firstLineChars="200"/>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本项目新建给水管道总长99.48km，分为三个片区：梅溪街道胥家桥社区沿江组、郭镇乡（麻布村、磨刀村等）、康王乡乌江村杨埠片。</w:t>
            </w:r>
          </w:p>
          <w:p w14:paraId="1256D141">
            <w:pPr>
              <w:widowControl/>
              <w:snapToGrid w:val="0"/>
              <w:spacing w:line="360" w:lineRule="auto"/>
              <w:ind w:firstLine="480" w:firstLineChars="200"/>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选线唯一性：给水管道作为城乡供水一体化工程的配套管网，</w:t>
            </w:r>
            <w:r>
              <w:rPr>
                <w:rFonts w:hint="eastAsia" w:ascii="宋体" w:hAnsi="宋体" w:cs="宋体"/>
                <w:color w:val="auto"/>
                <w:sz w:val="24"/>
                <w:lang w:val="en-US" w:eastAsia="zh-CN"/>
              </w:rPr>
              <w:t>是对现有管道的改善，</w:t>
            </w:r>
            <w:r>
              <w:rPr>
                <w:rFonts w:hint="eastAsia" w:ascii="宋体" w:hAnsi="宋体" w:eastAsia="宋体" w:cs="宋体"/>
                <w:color w:val="auto"/>
                <w:sz w:val="24"/>
                <w:lang w:val="en-US" w:eastAsia="zh-CN"/>
              </w:rPr>
              <w:t>其线路需结合现有道路、村庄布局、地形条件及用水户分布确定，以实现最经济的供水覆盖。设计管线主要沿G107国道、X022县道、北环线、湘北大道及现有村道、田间路边敷设，管位受现状道路、地形高程及用户接驳点制约，选线具有唯一性。各片区均从现有市政给水管网接驳，沿最短路径向末端用户延伸，无替代线路。</w:t>
            </w:r>
          </w:p>
          <w:p w14:paraId="7F0839E8">
            <w:pPr>
              <w:widowControl/>
              <w:snapToGrid w:val="0"/>
              <w:spacing w:line="360" w:lineRule="auto"/>
              <w:ind w:firstLine="480" w:firstLineChars="200"/>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环境合理性：给水管道沿线不涉及自然保护区、饮用水水源保护区、生态保护红线等禁止建设区域。根据岳阳楼区自然资源局出具的证明（附件</w:t>
            </w:r>
            <w:r>
              <w:rPr>
                <w:rFonts w:hint="eastAsia" w:ascii="宋体" w:hAnsi="宋体" w:cs="宋体"/>
                <w:color w:val="auto"/>
                <w:sz w:val="24"/>
                <w:lang w:val="en-US" w:eastAsia="zh-CN"/>
              </w:rPr>
              <w:t>4</w:t>
            </w:r>
            <w:r>
              <w:rPr>
                <w:rFonts w:hint="eastAsia" w:ascii="宋体" w:hAnsi="宋体" w:eastAsia="宋体" w:cs="宋体"/>
                <w:color w:val="auto"/>
                <w:sz w:val="24"/>
                <w:lang w:val="en-US" w:eastAsia="zh-CN"/>
              </w:rPr>
              <w:t>），项目不新增占地，不占用永久基本农田。临时占地主要为沿道路一侧的管沟开挖堆土及施工便道</w:t>
            </w:r>
            <w:r>
              <w:rPr>
                <w:rFonts w:hint="eastAsia" w:ascii="宋体" w:hAnsi="宋体" w:cs="宋体"/>
                <w:color w:val="auto"/>
                <w:sz w:val="24"/>
                <w:lang w:val="en-US" w:eastAsia="zh-CN"/>
              </w:rPr>
              <w:t>（开挖宽度1～3m）</w:t>
            </w:r>
            <w:r>
              <w:rPr>
                <w:rFonts w:hint="eastAsia" w:ascii="宋体" w:hAnsi="宋体" w:eastAsia="宋体" w:cs="宋体"/>
                <w:color w:val="auto"/>
                <w:sz w:val="24"/>
                <w:lang w:val="en-US" w:eastAsia="zh-CN"/>
              </w:rPr>
              <w:t>，施工结束后恢复原貌。康王乡乌江村段部分管线位于一般管控单元，但给水工程属于民生基础设施，不属于禁止或限制类项目，符合《关于发布岳阳市生态环境分区管控动态更新成果（2023年版）的通知》管控要求。因此，给水工程选址选线环境合理。</w:t>
            </w:r>
          </w:p>
          <w:p w14:paraId="41DA6AD0">
            <w:pPr>
              <w:widowControl/>
              <w:snapToGrid w:val="0"/>
              <w:spacing w:line="360" w:lineRule="auto"/>
              <w:ind w:firstLine="482" w:firstLineChars="200"/>
              <w:rPr>
                <w:rFonts w:hint="eastAsia" w:ascii="宋体" w:hAnsi="宋体" w:eastAsia="宋体" w:cs="宋体"/>
                <w:b/>
                <w:bCs/>
                <w:color w:val="auto"/>
                <w:sz w:val="24"/>
                <w:lang w:val="en-US" w:eastAsia="zh-CN"/>
              </w:rPr>
            </w:pPr>
            <w:r>
              <w:rPr>
                <w:rFonts w:hint="eastAsia" w:ascii="宋体" w:hAnsi="宋体" w:eastAsia="宋体" w:cs="宋体"/>
                <w:b/>
                <w:bCs/>
                <w:color w:val="auto"/>
                <w:sz w:val="24"/>
                <w:lang w:val="en-US" w:eastAsia="zh-CN"/>
              </w:rPr>
              <w:t>3、临时工程（施工营地、堆土场、作业点）设置合理性分析</w:t>
            </w:r>
          </w:p>
          <w:p w14:paraId="0B6D686B">
            <w:pPr>
              <w:widowControl/>
              <w:snapToGrid w:val="0"/>
              <w:spacing w:line="360" w:lineRule="auto"/>
              <w:ind w:firstLine="480" w:firstLineChars="200"/>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（1）施工营地</w:t>
            </w:r>
          </w:p>
          <w:p w14:paraId="179EF4C2">
            <w:pPr>
              <w:widowControl/>
              <w:snapToGrid w:val="0"/>
              <w:spacing w:line="360" w:lineRule="auto"/>
              <w:ind w:firstLine="480" w:firstLineChars="200"/>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根据</w:t>
            </w:r>
            <w:r>
              <w:rPr>
                <w:rFonts w:hint="eastAsia" w:ascii="宋体" w:hAnsi="宋体" w:cs="宋体"/>
                <w:color w:val="auto"/>
                <w:sz w:val="24"/>
                <w:lang w:val="en-US" w:eastAsia="zh-CN"/>
              </w:rPr>
              <w:t>初步设计方案</w:t>
            </w:r>
            <w:r>
              <w:rPr>
                <w:rFonts w:hint="eastAsia" w:ascii="宋体" w:hAnsi="宋体" w:eastAsia="宋体" w:cs="宋体"/>
                <w:color w:val="auto"/>
                <w:sz w:val="24"/>
                <w:lang w:val="en-US" w:eastAsia="zh-CN"/>
              </w:rPr>
              <w:t>，防洪排涝工程设置</w:t>
            </w:r>
            <w:r>
              <w:rPr>
                <w:rFonts w:hint="default" w:ascii="Times New Roman" w:hAnsi="Times New Roman" w:eastAsia="宋体" w:cs="Times New Roman"/>
                <w:color w:val="auto"/>
                <w:sz w:val="24"/>
                <w:lang w:val="en-US" w:eastAsia="zh-CN"/>
              </w:rPr>
              <w:t>1~2</w:t>
            </w:r>
            <w:r>
              <w:rPr>
                <w:rFonts w:hint="eastAsia" w:ascii="宋体" w:hAnsi="宋体" w:eastAsia="宋体" w:cs="宋体"/>
                <w:color w:val="auto"/>
                <w:sz w:val="24"/>
                <w:lang w:val="en-US" w:eastAsia="zh-CN"/>
              </w:rPr>
              <w:t>处施工营地，给水工程按片区设置施工营地（梅溪街道1处、郭镇乡</w:t>
            </w:r>
            <w:r>
              <w:rPr>
                <w:rFonts w:hint="default" w:ascii="Times New Roman" w:hAnsi="Times New Roman" w:eastAsia="宋体" w:cs="Times New Roman"/>
                <w:color w:val="auto"/>
                <w:sz w:val="24"/>
                <w:lang w:val="en-US" w:eastAsia="zh-CN"/>
              </w:rPr>
              <w:t>1~2</w:t>
            </w:r>
            <w:r>
              <w:rPr>
                <w:rFonts w:hint="eastAsia" w:ascii="宋体" w:hAnsi="宋体" w:eastAsia="宋体" w:cs="宋体"/>
                <w:color w:val="auto"/>
                <w:sz w:val="24"/>
                <w:lang w:val="en-US" w:eastAsia="zh-CN"/>
              </w:rPr>
              <w:t>处、康王乡1处），均租赁沿线闲置民房或村集体用房，不新增临时占地。施工营地主要用于材料存放、小型工具加工及现场办公，不设集中食堂和宿舍（员工就近招聘）。选址避开了居民集中区，且远离水体，不涉及</w:t>
            </w:r>
            <w:r>
              <w:rPr>
                <w:rFonts w:hint="eastAsia" w:ascii="宋体" w:hAnsi="宋体" w:cs="宋体"/>
                <w:color w:val="auto"/>
                <w:sz w:val="24"/>
                <w:lang w:val="en-US" w:eastAsia="zh-CN"/>
              </w:rPr>
              <w:t>基本农田等</w:t>
            </w:r>
            <w:r>
              <w:rPr>
                <w:rFonts w:hint="eastAsia" w:ascii="宋体" w:hAnsi="宋体" w:eastAsia="宋体" w:cs="宋体"/>
                <w:color w:val="auto"/>
                <w:sz w:val="24"/>
                <w:lang w:val="en-US" w:eastAsia="zh-CN"/>
              </w:rPr>
              <w:t>。施工营地生活污水依托现有化粪池处理，生活垃圾集中收集，对环境影响小。施工营地设置合理。</w:t>
            </w:r>
          </w:p>
          <w:p w14:paraId="683F1F37">
            <w:pPr>
              <w:widowControl/>
              <w:snapToGrid w:val="0"/>
              <w:spacing w:line="360" w:lineRule="auto"/>
              <w:ind w:firstLine="480" w:firstLineChars="200"/>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（2）临时堆土场</w:t>
            </w:r>
          </w:p>
          <w:p w14:paraId="21C3E1EC">
            <w:pPr>
              <w:widowControl/>
              <w:snapToGrid w:val="0"/>
              <w:spacing w:line="360" w:lineRule="auto"/>
              <w:ind w:firstLine="480" w:firstLineChars="200"/>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临时堆土场沿管线作业带设置（排水工程</w:t>
            </w:r>
            <w:r>
              <w:rPr>
                <w:rFonts w:hint="eastAsia" w:ascii="宋体" w:hAnsi="宋体" w:cs="宋体"/>
                <w:color w:val="auto"/>
                <w:sz w:val="24"/>
                <w:lang w:val="en-US" w:eastAsia="zh-CN"/>
              </w:rPr>
              <w:t>开挖</w:t>
            </w:r>
            <w:r>
              <w:rPr>
                <w:rFonts w:hint="eastAsia" w:ascii="宋体" w:hAnsi="宋体" w:eastAsia="宋体" w:cs="宋体"/>
                <w:color w:val="auto"/>
                <w:sz w:val="24"/>
                <w:lang w:val="en-US" w:eastAsia="zh-CN"/>
              </w:rPr>
              <w:t>宽度</w:t>
            </w:r>
            <w:r>
              <w:rPr>
                <w:rFonts w:hint="default" w:ascii="Times New Roman" w:hAnsi="Times New Roman" w:eastAsia="宋体" w:cs="Times New Roman"/>
                <w:color w:val="auto"/>
                <w:sz w:val="24"/>
                <w:lang w:val="en-US" w:eastAsia="zh-CN"/>
              </w:rPr>
              <w:t>3~5</w:t>
            </w:r>
            <w:r>
              <w:rPr>
                <w:rFonts w:hint="eastAsia" w:ascii="宋体" w:hAnsi="宋体" w:eastAsia="宋体" w:cs="宋体"/>
                <w:color w:val="auto"/>
                <w:sz w:val="24"/>
                <w:lang w:val="en-US" w:eastAsia="zh-CN"/>
              </w:rPr>
              <w:t>m，给水工程</w:t>
            </w:r>
            <w:r>
              <w:rPr>
                <w:rFonts w:hint="eastAsia" w:ascii="宋体" w:hAnsi="宋体" w:cs="宋体"/>
                <w:color w:val="auto"/>
                <w:sz w:val="24"/>
                <w:lang w:val="en-US" w:eastAsia="zh-CN"/>
              </w:rPr>
              <w:t>开挖</w:t>
            </w:r>
            <w:r>
              <w:rPr>
                <w:rFonts w:hint="eastAsia" w:ascii="宋体" w:hAnsi="宋体" w:eastAsia="宋体" w:cs="宋体"/>
                <w:color w:val="auto"/>
                <w:sz w:val="24"/>
                <w:lang w:val="en-US" w:eastAsia="zh-CN"/>
              </w:rPr>
              <w:t>宽度</w:t>
            </w:r>
            <w:r>
              <w:rPr>
                <w:rFonts w:hint="eastAsia" w:cs="Times New Roman"/>
                <w:color w:val="auto"/>
                <w:sz w:val="24"/>
                <w:lang w:val="en-US" w:eastAsia="zh-CN"/>
              </w:rPr>
              <w:t>1</w:t>
            </w:r>
            <w:r>
              <w:rPr>
                <w:rFonts w:hint="default" w:ascii="Times New Roman" w:hAnsi="Times New Roman" w:eastAsia="宋体" w:cs="Times New Roman"/>
                <w:color w:val="auto"/>
                <w:sz w:val="24"/>
                <w:lang w:val="en-US" w:eastAsia="zh-CN"/>
              </w:rPr>
              <w:t>~</w:t>
            </w:r>
            <w:r>
              <w:rPr>
                <w:rFonts w:hint="eastAsia" w:cs="Times New Roman"/>
                <w:color w:val="auto"/>
                <w:sz w:val="24"/>
                <w:lang w:val="en-US" w:eastAsia="zh-CN"/>
              </w:rPr>
              <w:t>2</w:t>
            </w:r>
            <w:r>
              <w:rPr>
                <w:rFonts w:hint="eastAsia" w:ascii="宋体" w:hAnsi="宋体" w:eastAsia="宋体" w:cs="宋体"/>
                <w:color w:val="auto"/>
                <w:sz w:val="24"/>
                <w:lang w:val="en-US" w:eastAsia="zh-CN"/>
              </w:rPr>
              <w:t>m），用于临时堆放管沟开挖的表土和回填土方。堆土场选址尽量避开耕地集中区，优先选择道路红线内或空闲地，不占用永久基本农田。堆土表面采用防尘网覆盖，周边设临时截排水沟，防止雨水冲刷造成水土流失。施工结束后及时回填、平整、恢复原貌。堆土场设置符合环保及水保要求，合理可行。</w:t>
            </w:r>
          </w:p>
          <w:p w14:paraId="59F6773A">
            <w:pPr>
              <w:widowControl/>
              <w:snapToGrid w:val="0"/>
              <w:spacing w:line="360" w:lineRule="auto"/>
              <w:ind w:firstLine="480" w:firstLineChars="200"/>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（3）顶管工作井/接收井施工区</w:t>
            </w:r>
          </w:p>
          <w:p w14:paraId="34699A8C">
            <w:pPr>
              <w:widowControl/>
              <w:snapToGrid w:val="0"/>
              <w:spacing w:line="360" w:lineRule="auto"/>
              <w:ind w:firstLine="480" w:firstLineChars="200"/>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巴陵路段顶管施工需设置工作井7座、接收井7座，位于辅道或人行道范围内，不新增占地。施工区采用围挡封闭，泥浆池设防渗措施，施工结束后恢复道路原状。因受顶管工艺和地下管线条件限制，工作井位置基本唯一，无法调整。</w:t>
            </w:r>
            <w:r>
              <w:rPr>
                <w:rFonts w:hint="eastAsia" w:ascii="宋体" w:hAnsi="宋体" w:cs="宋体"/>
                <w:color w:val="auto"/>
                <w:sz w:val="24"/>
                <w:lang w:val="en-US" w:eastAsia="zh-CN"/>
              </w:rPr>
              <w:t>因项目位于市区</w:t>
            </w:r>
            <w:r>
              <w:rPr>
                <w:rFonts w:hint="eastAsia" w:ascii="宋体" w:hAnsi="宋体" w:eastAsia="宋体" w:cs="宋体"/>
                <w:color w:val="auto"/>
                <w:sz w:val="24"/>
                <w:lang w:val="en-US" w:eastAsia="zh-CN"/>
              </w:rPr>
              <w:t>，工作井周边50m范围内有居民点，但施工期采取设置临时声屏障、合理安排作业时段、洒水降尘等措施后，对居民影响可控。在严格落实环保措施的前提下，顶管工作井设置位置环境合理。</w:t>
            </w:r>
          </w:p>
          <w:p w14:paraId="399EAB68">
            <w:pPr>
              <w:widowControl/>
              <w:snapToGrid w:val="0"/>
              <w:spacing w:line="360" w:lineRule="auto"/>
              <w:ind w:firstLine="480" w:firstLineChars="200"/>
              <w:rPr>
                <w:rFonts w:hint="eastAsia" w:ascii="宋体" w:hAnsi="宋体" w:eastAsia="宋体" w:cs="宋体"/>
                <w:color w:val="auto"/>
                <w:sz w:val="24"/>
                <w:lang w:val="en-US" w:eastAsia="zh-CN"/>
              </w:rPr>
            </w:pPr>
            <w:r>
              <w:rPr>
                <w:rFonts w:hint="eastAsia" w:ascii="宋体" w:hAnsi="宋体" w:eastAsia="宋体" w:cs="宋体"/>
                <w:color w:val="auto"/>
                <w:sz w:val="24"/>
                <w:lang w:val="en-US" w:eastAsia="zh-CN"/>
              </w:rPr>
              <w:t>综上分析，本项目防洪排涝工程和给水工程均属于原址改造或沿现有道路、管位敷设，选线具有唯一性。项目不新增永久占地，不占用自然保护区、饮用水水源保护区、生态保护红线、永久基本农田等环境敏感区，无重大环境制约因素。临时工程（施工营地、堆土场、工作井）布置以利用既有场地和闲置设施为主，避让了居民集中区和生态敏感区域，在落实相应环保措施后对环境影响较小。本项目不涉及生态保护红线、永久基本农田、自然保护地等生态空间敏感区，不破坏原生植被，施工扰动范围小、生态影响可控，选址选线环境合理。</w:t>
            </w:r>
          </w:p>
          <w:p w14:paraId="0219F22F">
            <w:pPr>
              <w:widowControl/>
              <w:snapToGrid w:val="0"/>
              <w:spacing w:line="360" w:lineRule="auto"/>
              <w:ind w:firstLine="480" w:firstLineChars="200"/>
              <w:rPr>
                <w:rFonts w:hint="eastAsia" w:ascii="宋体" w:hAnsi="宋体" w:eastAsia="宋体" w:cs="宋体"/>
                <w:color w:val="auto"/>
                <w:sz w:val="24"/>
                <w:lang w:val="en-US" w:eastAsia="zh-CN"/>
              </w:rPr>
            </w:pPr>
          </w:p>
          <w:p w14:paraId="06DD7310">
            <w:pPr>
              <w:widowControl/>
              <w:snapToGrid w:val="0"/>
              <w:spacing w:line="360" w:lineRule="auto"/>
              <w:ind w:firstLine="480" w:firstLineChars="200"/>
              <w:rPr>
                <w:rFonts w:hint="eastAsia" w:ascii="宋体" w:hAnsi="宋体" w:eastAsia="宋体" w:cs="宋体"/>
                <w:color w:val="auto"/>
                <w:sz w:val="24"/>
                <w:lang w:val="en-US" w:eastAsia="zh-CN"/>
              </w:rPr>
            </w:pPr>
          </w:p>
          <w:p w14:paraId="1D0971D1">
            <w:pPr>
              <w:widowControl/>
              <w:snapToGrid w:val="0"/>
              <w:spacing w:line="360" w:lineRule="auto"/>
              <w:ind w:firstLine="480" w:firstLineChars="200"/>
              <w:rPr>
                <w:rFonts w:hint="eastAsia" w:ascii="宋体" w:hAnsi="宋体" w:eastAsia="宋体" w:cs="宋体"/>
                <w:color w:val="auto"/>
                <w:sz w:val="24"/>
                <w:lang w:val="en-US" w:eastAsia="zh-CN"/>
              </w:rPr>
            </w:pPr>
          </w:p>
          <w:p w14:paraId="5A236DEB">
            <w:pPr>
              <w:widowControl/>
              <w:snapToGrid w:val="0"/>
              <w:spacing w:line="360" w:lineRule="auto"/>
              <w:ind w:firstLine="480" w:firstLineChars="200"/>
              <w:rPr>
                <w:rFonts w:hint="eastAsia" w:ascii="宋体" w:hAnsi="宋体" w:eastAsia="宋体" w:cs="宋体"/>
                <w:color w:val="auto"/>
                <w:sz w:val="24"/>
                <w:lang w:val="en-US" w:eastAsia="zh-CN"/>
              </w:rPr>
            </w:pPr>
          </w:p>
          <w:p w14:paraId="6D4A6BD4">
            <w:pPr>
              <w:widowControl/>
              <w:snapToGrid w:val="0"/>
              <w:spacing w:line="360" w:lineRule="auto"/>
              <w:ind w:firstLine="480" w:firstLineChars="200"/>
              <w:rPr>
                <w:rFonts w:hint="eastAsia" w:ascii="宋体" w:hAnsi="宋体" w:eastAsia="宋体" w:cs="宋体"/>
                <w:color w:val="auto"/>
                <w:sz w:val="24"/>
                <w:lang w:val="en-US" w:eastAsia="zh-CN"/>
              </w:rPr>
            </w:pPr>
          </w:p>
          <w:p w14:paraId="37FFC56C">
            <w:pPr>
              <w:widowControl/>
              <w:snapToGrid w:val="0"/>
              <w:spacing w:line="360" w:lineRule="auto"/>
              <w:ind w:firstLine="480" w:firstLineChars="200"/>
              <w:rPr>
                <w:rFonts w:hint="eastAsia" w:ascii="宋体" w:hAnsi="宋体" w:eastAsia="宋体" w:cs="宋体"/>
                <w:color w:val="auto"/>
                <w:sz w:val="24"/>
                <w:lang w:val="en-US" w:eastAsia="zh-CN"/>
              </w:rPr>
            </w:pPr>
          </w:p>
          <w:p w14:paraId="4090E9FD">
            <w:pPr>
              <w:widowControl/>
              <w:snapToGrid w:val="0"/>
              <w:spacing w:line="360" w:lineRule="auto"/>
              <w:ind w:firstLine="480" w:firstLineChars="200"/>
              <w:rPr>
                <w:rFonts w:hint="eastAsia" w:ascii="宋体" w:hAnsi="宋体" w:eastAsia="宋体" w:cs="宋体"/>
                <w:color w:val="auto"/>
                <w:sz w:val="24"/>
                <w:lang w:val="en-US" w:eastAsia="zh-CN"/>
              </w:rPr>
            </w:pPr>
          </w:p>
          <w:p w14:paraId="72D9DEE3">
            <w:pPr>
              <w:widowControl/>
              <w:snapToGrid w:val="0"/>
              <w:spacing w:line="360" w:lineRule="auto"/>
              <w:ind w:firstLine="480" w:firstLineChars="200"/>
              <w:rPr>
                <w:rFonts w:hint="eastAsia" w:ascii="宋体" w:hAnsi="宋体" w:eastAsia="宋体" w:cs="宋体"/>
                <w:color w:val="auto"/>
                <w:sz w:val="24"/>
                <w:lang w:val="en-US" w:eastAsia="zh-CN"/>
              </w:rPr>
            </w:pPr>
          </w:p>
          <w:p w14:paraId="16687B9E">
            <w:pPr>
              <w:widowControl/>
              <w:snapToGrid w:val="0"/>
              <w:spacing w:line="360" w:lineRule="auto"/>
              <w:ind w:firstLine="480" w:firstLineChars="200"/>
              <w:rPr>
                <w:rFonts w:hint="eastAsia" w:ascii="宋体" w:hAnsi="宋体" w:eastAsia="宋体" w:cs="宋体"/>
                <w:color w:val="auto"/>
                <w:sz w:val="24"/>
                <w:lang w:val="en-US" w:eastAsia="zh-CN"/>
              </w:rPr>
            </w:pPr>
          </w:p>
          <w:p w14:paraId="59A39D02">
            <w:pPr>
              <w:widowControl/>
              <w:snapToGrid w:val="0"/>
              <w:spacing w:line="360" w:lineRule="auto"/>
              <w:ind w:firstLine="480" w:firstLineChars="200"/>
              <w:rPr>
                <w:rFonts w:hint="default" w:ascii="宋体" w:hAnsi="宋体" w:eastAsia="宋体" w:cs="宋体"/>
                <w:color w:val="auto"/>
                <w:sz w:val="24"/>
                <w:lang w:val="en-US" w:eastAsia="zh-CN"/>
              </w:rPr>
            </w:pPr>
          </w:p>
        </w:tc>
      </w:tr>
    </w:tbl>
    <w:p w14:paraId="7CACC598">
      <w:pPr>
        <w:adjustRightInd w:val="0"/>
        <w:snapToGrid w:val="0"/>
        <w:spacing w:line="360" w:lineRule="auto"/>
        <w:rPr>
          <w:rFonts w:hint="eastAsia" w:ascii="宋体" w:cs="宋体"/>
          <w:b/>
          <w:color w:val="FF0000"/>
          <w:kern w:val="0"/>
          <w:sz w:val="28"/>
          <w:szCs w:val="28"/>
        </w:rPr>
        <w:sectPr>
          <w:pgSz w:w="11907" w:h="16840"/>
          <w:pgMar w:top="1417" w:right="1531" w:bottom="1446" w:left="1531" w:header="1191" w:footer="1134" w:gutter="0"/>
          <w:pgBorders>
            <w:top w:val="none" w:sz="0" w:space="0"/>
            <w:left w:val="none" w:sz="0" w:space="0"/>
            <w:bottom w:val="none" w:sz="0" w:space="0"/>
            <w:right w:val="none" w:sz="0" w:space="0"/>
          </w:pgBorders>
          <w:cols w:space="720" w:num="1"/>
          <w:docGrid w:linePitch="312" w:charSpace="0"/>
        </w:sectPr>
      </w:pPr>
    </w:p>
    <w:p w14:paraId="0CF94314">
      <w:pPr>
        <w:keepNext w:val="0"/>
        <w:keepLines w:val="0"/>
        <w:pageBreakBefore w:val="0"/>
        <w:widowControl/>
        <w:numPr>
          <w:ilvl w:val="0"/>
          <w:numId w:val="1"/>
        </w:numPr>
        <w:kinsoku/>
        <w:wordWrap/>
        <w:overflowPunct/>
        <w:topLinePunct w:val="0"/>
        <w:autoSpaceDE/>
        <w:autoSpaceDN/>
        <w:bidi w:val="0"/>
        <w:adjustRightInd/>
        <w:snapToGrid/>
        <w:spacing w:before="0" w:beforeAutospacing="0" w:after="0" w:afterAutospacing="0"/>
        <w:jc w:val="center"/>
        <w:textAlignment w:val="auto"/>
        <w:outlineLvl w:val="0"/>
        <w:rPr>
          <w:rFonts w:hint="eastAsia" w:ascii="黑体" w:hAnsi="黑体" w:eastAsia="黑体"/>
          <w:snapToGrid w:val="0"/>
          <w:color w:val="auto"/>
          <w:sz w:val="30"/>
          <w:szCs w:val="30"/>
        </w:rPr>
      </w:pPr>
      <w:bookmarkStart w:id="9" w:name="_Toc7541"/>
      <w:bookmarkStart w:id="10" w:name="_Toc12620"/>
      <w:bookmarkStart w:id="11" w:name="_Hlk54167917"/>
      <w:r>
        <w:rPr>
          <w:rFonts w:hint="eastAsia" w:ascii="黑体" w:hAnsi="黑体" w:eastAsia="黑体"/>
          <w:snapToGrid w:val="0"/>
          <w:color w:val="auto"/>
          <w:sz w:val="30"/>
          <w:szCs w:val="30"/>
          <w:lang w:eastAsia="zh-CN"/>
        </w:rPr>
        <w:t>主要生态</w:t>
      </w:r>
      <w:r>
        <w:rPr>
          <w:rFonts w:hint="eastAsia" w:ascii="黑体" w:hAnsi="黑体" w:eastAsia="黑体"/>
          <w:snapToGrid w:val="0"/>
          <w:color w:val="auto"/>
          <w:sz w:val="30"/>
          <w:szCs w:val="30"/>
        </w:rPr>
        <w:t>环境保护措施</w:t>
      </w:r>
      <w:bookmarkEnd w:id="9"/>
      <w:bookmarkEnd w:id="10"/>
      <w:bookmarkEnd w:id="11"/>
    </w:p>
    <w:tbl>
      <w:tblPr>
        <w:tblStyle w:val="9"/>
        <w:tblW w:w="8908"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549"/>
        <w:gridCol w:w="8359"/>
      </w:tblGrid>
      <w:tr w14:paraId="0CEDECD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49" w:type="dxa"/>
            <w:tcMar>
              <w:left w:w="28" w:type="dxa"/>
              <w:right w:w="28" w:type="dxa"/>
            </w:tcMar>
            <w:vAlign w:val="center"/>
          </w:tcPr>
          <w:p w14:paraId="60911FF5">
            <w:pPr>
              <w:adjustRightInd w:val="0"/>
              <w:snapToGrid w:val="0"/>
              <w:jc w:val="center"/>
              <w:rPr>
                <w:rFonts w:hint="default" w:ascii="宋体" w:hAnsi="宋体" w:eastAsia="宋体" w:cs="宋体"/>
                <w:bCs/>
                <w:color w:val="auto"/>
                <w:sz w:val="24"/>
                <w:szCs w:val="24"/>
                <w:lang w:val="en-US" w:eastAsia="zh-CN"/>
              </w:rPr>
            </w:pPr>
            <w:r>
              <w:rPr>
                <w:rFonts w:hint="eastAsia" w:ascii="宋体" w:hAnsi="宋体" w:cs="宋体"/>
                <w:bCs/>
                <w:color w:val="auto"/>
                <w:sz w:val="24"/>
                <w:szCs w:val="24"/>
                <w:lang w:val="en-US" w:eastAsia="zh-CN"/>
              </w:rPr>
              <w:t>施工期生态环境保护措施</w:t>
            </w:r>
          </w:p>
        </w:tc>
        <w:tc>
          <w:tcPr>
            <w:tcW w:w="8359" w:type="dxa"/>
            <w:vAlign w:val="center"/>
          </w:tcPr>
          <w:p w14:paraId="7ADA8976">
            <w:pPr>
              <w:widowControl/>
              <w:snapToGrid w:val="0"/>
              <w:spacing w:line="360" w:lineRule="auto"/>
              <w:ind w:firstLine="482" w:firstLineChars="200"/>
              <w:rPr>
                <w:rFonts w:hint="default"/>
                <w:b/>
                <w:bCs/>
                <w:color w:val="auto"/>
                <w:sz w:val="24"/>
                <w:lang w:val="en-US" w:eastAsia="zh-CN"/>
              </w:rPr>
            </w:pPr>
            <w:r>
              <w:rPr>
                <w:rFonts w:hint="default"/>
                <w:b/>
                <w:bCs/>
                <w:color w:val="auto"/>
                <w:sz w:val="24"/>
                <w:lang w:val="en-US" w:eastAsia="zh-CN"/>
              </w:rPr>
              <w:t>1、施工期生态环境保护措施</w:t>
            </w:r>
          </w:p>
          <w:p w14:paraId="6F691559">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（1）陆生生态环境保护措施</w:t>
            </w:r>
          </w:p>
          <w:p w14:paraId="3A8EBBCD">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本项目施工期临时占地3.0万m</w:t>
            </w:r>
            <w:r>
              <w:rPr>
                <w:rFonts w:hint="eastAsia"/>
                <w:color w:val="auto"/>
                <w:sz w:val="24"/>
                <w:vertAlign w:val="superscript"/>
                <w:lang w:val="en-US" w:eastAsia="zh-CN"/>
              </w:rPr>
              <w:t>2</w:t>
            </w:r>
            <w:r>
              <w:rPr>
                <w:rFonts w:hint="default"/>
                <w:color w:val="auto"/>
                <w:sz w:val="24"/>
                <w:lang w:val="en-US" w:eastAsia="zh-CN"/>
              </w:rPr>
              <w:t>，主要占用城区道路、人行道、村道及少量农田边缘地带。为最大限度减少对陆生生态的影响，采取以下保护措施：</w:t>
            </w:r>
          </w:p>
          <w:p w14:paraId="5C5CC1B3">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①严格控制施工范围：施工活动区需标桩划界，明确施工作业带边界，禁止施工人员进入非施工占地区域，减少对周边植被和土壤的占压和破坏。临时堆土、材料堆放均布置在作业带范围内。</w:t>
            </w:r>
          </w:p>
          <w:p w14:paraId="2CA3FECB">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②表土剥离与保护：施工前对临时占用耕地的区域进行表土剥离，剥离厚度30cm，单独堆存于临时堆土场，采用防尘网遮盖、设置临时挡护，施工结束后将表土回填用于复垦或绿化。</w:t>
            </w:r>
          </w:p>
          <w:p w14:paraId="4E318A2D">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③农田保护措施：靠近农田的施工段（如给水工程郭镇乡、康王乡段）尽量安排在冬季农闲时段施工；施工产生的废渣不得堆弃于农田内；临时占用农田的，施工结束后及时清理碎石、平整土地、深翻松土，恢复耕种条件。</w:t>
            </w:r>
          </w:p>
          <w:p w14:paraId="7D8299A2">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④水土保持临时措施：在开挖临时工作面采用密目网覆盖，防止风蚀和水蚀；在管沟开挖区、临时堆土场周边设置临时截排水沟（规格0.3m×0.3m，矩形断面），末端设置沉沙凼（1.5m×1m×1m，浆砌砖衬砌），拦截泥沙，避免进入周边水体。</w:t>
            </w:r>
          </w:p>
          <w:p w14:paraId="6546CE78">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⑤植被恢复：施工结束后，对临时占地进行全面土地整治，回填表土，根据原地类性质进行复垦或绿化。道路两侧绿化带按原标准恢复；占用草地的播撒狗牙根、白三叶等本地草种；占用林地的补植樟树、女贞等乡土乔木（行间距3m×3m）。</w:t>
            </w:r>
          </w:p>
          <w:p w14:paraId="35832182">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⑥外来物种入侵防范：植被恢复所用草种、树种必须选用本地物种，禁止使用外来入侵物种（如一年蓬、加拿大一枝黄花等），防止生态入侵。</w:t>
            </w:r>
          </w:p>
          <w:p w14:paraId="34FC65AE">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（2）水生生态环境保护措施</w:t>
            </w:r>
          </w:p>
          <w:p w14:paraId="7B6EDBE3">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本项目防洪排涝工程新建雨水管道终点排入王家河（一般湿地），施工期采取以下水生生态保护措施：</w:t>
            </w:r>
          </w:p>
          <w:p w14:paraId="43294D6F">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①严格管控施工废水：严禁施工废水、泥浆、生活垃圾等排入王家河及周边沟渠。顶管泥浆经泥水分离系统处理后，尾水循环利用，泥饼外运；车辆冲洗废水经隔油沉淀后回用。</w:t>
            </w:r>
          </w:p>
          <w:p w14:paraId="4DDF7DA5">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②清淤作业保护：排水管沟清淤（1350m）采用分段施工、干式清淤方式，清淤前封堵上下游，抽排积水，减少对水体的扰动。清淤淤泥即清即运，不堆存于河岸。</w:t>
            </w:r>
          </w:p>
          <w:p w14:paraId="4BFEA242">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③禁止捕捞鱼类：对施工人员进行宣传教育，严禁在施工期间捕捞周边水域鱼类，减少对鱼类资源的影响。</w:t>
            </w:r>
          </w:p>
          <w:p w14:paraId="01A2E2B7">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（3）水土流失防治措施</w:t>
            </w:r>
          </w:p>
          <w:p w14:paraId="5889F4FC">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按照分区防治原则，将项目分为主体工程区（管沟开挖区、顶管工作井区）、施工临时设施区（施工营地、综合加工厂）、临时堆土场区、施工便道区。</w:t>
            </w:r>
          </w:p>
          <w:p w14:paraId="0F416B5A">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①主体工程区</w:t>
            </w:r>
          </w:p>
          <w:p w14:paraId="5BE6D379">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工程措施：施工前对耕地、林地段进行表土剥离（厚度30cm），单独堆放；管沟回填后及时恢复地表。</w:t>
            </w:r>
          </w:p>
          <w:p w14:paraId="1DA73544">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临时措施：开挖裸露面采用密目网覆盖；雨季施工时设置临时排水沟和沉沙凼。</w:t>
            </w:r>
          </w:p>
          <w:p w14:paraId="46174DD8">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植物措施：完工后对临时占用草地、林地部分进行植被恢复，撒播灌草籽，栽植乔木。</w:t>
            </w:r>
          </w:p>
          <w:p w14:paraId="1C96D807">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②施工临时设施区（施工营地、加工厂）</w:t>
            </w:r>
          </w:p>
          <w:p w14:paraId="6EE3BCF9">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临时措施：场地四周设临时排水沟（0.3m×0.3m），末端设沉沙凼（共2个，每月清淤2次）；材料堆场设置围挡。</w:t>
            </w:r>
          </w:p>
          <w:p w14:paraId="7AF2A37C">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工程措施：完工后拆除临建设施，清运建筑垃圾，平整土地，进行复垦或绿化。</w:t>
            </w:r>
          </w:p>
          <w:p w14:paraId="2ED14981">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植物措施：回填表土，撒播狗牙根等草籽，恢复植被。</w:t>
            </w:r>
          </w:p>
          <w:p w14:paraId="26BB6394">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③ 临时堆土场区</w:t>
            </w:r>
          </w:p>
          <w:p w14:paraId="274CD68D">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临时措施：堆土坡脚设编织袋挡土墙，表面用密目网覆盖；周边设截排水沟，末端设沉沙凼。</w:t>
            </w:r>
          </w:p>
          <w:p w14:paraId="07C3077F">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工程措施：施工结束后平整场地，覆土恢复原地类。</w:t>
            </w:r>
          </w:p>
          <w:p w14:paraId="1602B0AA">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④施工便道区</w:t>
            </w:r>
          </w:p>
          <w:p w14:paraId="50851DCB">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临时措施：便道一侧设临时排水沟，末端设沉沙凼；定期洒水降尘。</w:t>
            </w:r>
          </w:p>
          <w:p w14:paraId="0EAEE4A9">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工程措施：施工结束后清除路面铺垫物，深翻松土，恢复耕作或绿化。</w:t>
            </w:r>
          </w:p>
          <w:p w14:paraId="57B89D3A">
            <w:pPr>
              <w:widowControl/>
              <w:snapToGrid w:val="0"/>
              <w:spacing w:line="360" w:lineRule="auto"/>
              <w:ind w:firstLine="482" w:firstLineChars="200"/>
              <w:rPr>
                <w:rFonts w:hint="default"/>
                <w:b/>
                <w:bCs/>
                <w:color w:val="auto"/>
                <w:sz w:val="24"/>
                <w:lang w:val="en-US" w:eastAsia="zh-CN"/>
              </w:rPr>
            </w:pPr>
            <w:r>
              <w:rPr>
                <w:rFonts w:hint="default"/>
                <w:b/>
                <w:bCs/>
                <w:color w:val="auto"/>
                <w:sz w:val="24"/>
                <w:lang w:val="en-US" w:eastAsia="zh-CN"/>
              </w:rPr>
              <w:t>2、施工期大气污染防治措施</w:t>
            </w:r>
          </w:p>
          <w:p w14:paraId="3E39ACDD">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本项目施工期大气污染物主要为施工扬尘、机械尾气和清淤恶臭。采取以下防治措施：</w:t>
            </w:r>
          </w:p>
          <w:p w14:paraId="72ED6DCA">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①扬尘控制</w:t>
            </w:r>
          </w:p>
          <w:p w14:paraId="600A98D4">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施工区域设置连续、密闭的围挡（高度不低于2.5m），围挡上方设喷雾降尘装置。</w:t>
            </w:r>
          </w:p>
          <w:p w14:paraId="1E993AAE">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施工道路及作业区派专人定时洒水（每天不少于4次，干燥大风天气加密洒水）。</w:t>
            </w:r>
          </w:p>
          <w:p w14:paraId="22012F32">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易产生扬尘的堆放材料（土方、砂石）采用防尘网全覆盖；土方开挖时采取湿法作业（喷雾、洒水）。</w:t>
            </w:r>
          </w:p>
          <w:p w14:paraId="2E4304E7">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风速四级以上时暂停土方开挖、回填等扬尘作业，并采取覆盖堆料、湿润等措施。</w:t>
            </w:r>
          </w:p>
          <w:p w14:paraId="024E18BE">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施工场地出入口设置车辆冲洗平台（含洗车槽、高压冲洗设备），车辆驶出前冲洗轮胎及车身，严禁带泥上路。</w:t>
            </w:r>
          </w:p>
          <w:p w14:paraId="11B82C94">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②运输扬尘控制</w:t>
            </w:r>
          </w:p>
          <w:p w14:paraId="3933AEE7">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运送土方、建筑垃圾、砂石料的车辆必须密闭运输（加盖篷布或使用密闭车厢），严禁超载、沿途撒落。</w:t>
            </w:r>
          </w:p>
          <w:p w14:paraId="1418DF41">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运输车辆行驶路线尽量避开居民集中区，经过敏感点时限速行驶（≤5km/h）。</w:t>
            </w:r>
          </w:p>
          <w:p w14:paraId="01315106">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③机械尾气控制</w:t>
            </w:r>
          </w:p>
          <w:p w14:paraId="3DB95C41">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选用尾气排放符合国家环保标准的施工机械和运输车辆，并定期检修保养。</w:t>
            </w:r>
          </w:p>
          <w:p w14:paraId="6DDCDC91">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严禁使用报废、淘汰的非道路移动机械。</w:t>
            </w:r>
          </w:p>
          <w:p w14:paraId="788D4061">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④清淤恶臭控制</w:t>
            </w:r>
          </w:p>
          <w:p w14:paraId="767A1E04">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清淤作业分段进行，缩短淤泥暴露时间；清淤点周边设置围挡，必要时喷洒除臭剂。</w:t>
            </w:r>
          </w:p>
          <w:p w14:paraId="54736218">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清淤淤泥即清即运，不在现场长时间堆存；运输车辆密闭，防止臭气逸散。</w:t>
            </w:r>
          </w:p>
          <w:p w14:paraId="25DD63F5">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⑤管理要求</w:t>
            </w:r>
          </w:p>
          <w:p w14:paraId="77260C46">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施工单位应严格按照《大气污染防治行动计划》及岳阳市扬尘污染防治相关规定执行。</w:t>
            </w:r>
          </w:p>
          <w:p w14:paraId="3B170962">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接受生态环境部门监督检查，配备专职环保员负责扬尘治理。</w:t>
            </w:r>
          </w:p>
          <w:p w14:paraId="5CCF0A14">
            <w:pPr>
              <w:widowControl/>
              <w:snapToGrid w:val="0"/>
              <w:spacing w:line="360" w:lineRule="auto"/>
              <w:ind w:firstLine="482" w:firstLineChars="200"/>
              <w:rPr>
                <w:rFonts w:hint="default"/>
                <w:b/>
                <w:bCs/>
                <w:color w:val="auto"/>
                <w:sz w:val="24"/>
                <w:lang w:val="en-US" w:eastAsia="zh-CN"/>
              </w:rPr>
            </w:pPr>
            <w:r>
              <w:rPr>
                <w:rFonts w:hint="default"/>
                <w:b/>
                <w:bCs/>
                <w:color w:val="auto"/>
                <w:sz w:val="24"/>
                <w:lang w:val="en-US" w:eastAsia="zh-CN"/>
              </w:rPr>
              <w:t>3、施工期水污染防治措施</w:t>
            </w:r>
          </w:p>
          <w:p w14:paraId="1FA2ABCC">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①车辆冲洗废水：施工营地出入口设置隔油池+沉淀池（每个容积8m</w:t>
            </w:r>
            <w:r>
              <w:rPr>
                <w:rFonts w:hint="eastAsia"/>
                <w:color w:val="auto"/>
                <w:sz w:val="24"/>
                <w:vertAlign w:val="superscript"/>
                <w:lang w:val="en-US" w:eastAsia="zh-CN"/>
              </w:rPr>
              <w:t>3</w:t>
            </w:r>
            <w:r>
              <w:rPr>
                <w:rFonts w:hint="default"/>
                <w:color w:val="auto"/>
                <w:sz w:val="24"/>
                <w:lang w:val="en-US" w:eastAsia="zh-CN"/>
              </w:rPr>
              <w:t>，共设2个），冲洗废水经隔油沉淀处理后回用于洒水降尘和车辆冲洗，不外排。隔油池废油按危险废物管理，委托资质单位处置。</w:t>
            </w:r>
          </w:p>
          <w:p w14:paraId="580D3239">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②顶管泥浆水：顶管施工现场设置泥水分离系统，废弃泥浆经沉淀、固化处理后，泥饼外运至指定消纳场，尾水循环利用。泥浆池底部及四壁采取防渗处理（铺设HDPE土工膜），防止渗漏。</w:t>
            </w:r>
          </w:p>
          <w:p w14:paraId="37C710AE">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③基坑降排水：工作井及管沟开挖基坑排水主要含悬浮物，经沉淀池沉淀达标后排入市政雨水管网。沉淀池定期清淤。</w:t>
            </w:r>
          </w:p>
          <w:p w14:paraId="615BFBFB">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④管道试压废水：雨水管道闭水试验和给水管道水压试验废水，主要含少量悬浮物，经临时沉淀池沉淀后用于洒水降尘或排入市政雨水管网。</w:t>
            </w:r>
          </w:p>
          <w:p w14:paraId="5FC7E686">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⑤生活污水：施工人员租用沿线民房，生活污水依托现有化粪池处理，不单独排放。</w:t>
            </w:r>
          </w:p>
          <w:p w14:paraId="4150FE59">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⑥清淤余水：排水管沟清淤过程中抽排的积水，经沉淀后排入市政污水管网或用于洒水，不得直排自然水体。</w:t>
            </w:r>
          </w:p>
          <w:p w14:paraId="05C619C8">
            <w:pPr>
              <w:widowControl/>
              <w:snapToGrid w:val="0"/>
              <w:spacing w:line="360" w:lineRule="auto"/>
              <w:ind w:firstLine="482" w:firstLineChars="200"/>
              <w:rPr>
                <w:rFonts w:hint="default"/>
                <w:b/>
                <w:bCs/>
                <w:color w:val="auto"/>
                <w:sz w:val="24"/>
                <w:lang w:val="en-US" w:eastAsia="zh-CN"/>
              </w:rPr>
            </w:pPr>
            <w:r>
              <w:rPr>
                <w:rFonts w:hint="default"/>
                <w:b/>
                <w:bCs/>
                <w:color w:val="auto"/>
                <w:sz w:val="24"/>
                <w:lang w:val="en-US" w:eastAsia="zh-CN"/>
              </w:rPr>
              <w:t>4、施工期噪声污染防治措施</w:t>
            </w:r>
          </w:p>
          <w:p w14:paraId="7B52017F">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①源头控制：选用符合国家标准的低噪声施工机械设备（如液压挖掘机、低噪振捣器等），加强设备维护保养，保持润滑，降低运行噪声。</w:t>
            </w:r>
          </w:p>
          <w:p w14:paraId="0278E0AC">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②合理布局：高噪声设备（如空压机、发电机）布置在远离敏感点一侧；固定振动源相对集中，减少影响范围。</w:t>
            </w:r>
          </w:p>
          <w:p w14:paraId="51CCC1F0">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③时间控制：禁止在午间（12:00~14:00）和夜间（22:00~次日06:00）进行高噪声施工作业（如破路、打桩、振捣等）。因工艺需要连续施工的，须提前向生态环境部门申请，并公告周边居民。</w:t>
            </w:r>
          </w:p>
          <w:p w14:paraId="653C5BA8">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④临时隔声措施：距离居民区、学校等敏感点小于30m的施工段，设置临时声屏障（高度不低于2m，隔声量≥15dB(A)）。顶管工作井周边设置围挡，减少噪声传播。</w:t>
            </w:r>
          </w:p>
          <w:p w14:paraId="4F1D45D3">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⑤交通噪声控制：运输车辆经过居民区、学校时减速慢行（≤5km/h），禁止鸣笛；合理规划运输路线，避开敏感点集中路段。</w:t>
            </w:r>
          </w:p>
          <w:p w14:paraId="69BD1978">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⑥宣传与管理：做好施工公告和居民沟通，倡导文明施工，降低人为噪声。建设单位委托监理单位加强施工期噪声监理，确保措施落实。</w:t>
            </w:r>
          </w:p>
          <w:p w14:paraId="0A260E1E">
            <w:pPr>
              <w:widowControl/>
              <w:snapToGrid w:val="0"/>
              <w:spacing w:line="360" w:lineRule="auto"/>
              <w:ind w:firstLine="482" w:firstLineChars="200"/>
              <w:rPr>
                <w:rFonts w:hint="default"/>
                <w:b/>
                <w:bCs/>
                <w:color w:val="auto"/>
                <w:sz w:val="24"/>
                <w:lang w:val="en-US" w:eastAsia="zh-CN"/>
              </w:rPr>
            </w:pPr>
            <w:r>
              <w:rPr>
                <w:rFonts w:hint="default"/>
                <w:b/>
                <w:bCs/>
                <w:color w:val="auto"/>
                <w:sz w:val="24"/>
                <w:lang w:val="en-US" w:eastAsia="zh-CN"/>
              </w:rPr>
              <w:t>5、施工期固体废物污染防治措施</w:t>
            </w:r>
          </w:p>
          <w:p w14:paraId="7E6CB7D1">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①工程弃渣：防洪排涝工程弃方约</w:t>
            </w:r>
            <w:r>
              <w:rPr>
                <w:rFonts w:hint="eastAsia" w:ascii="宋体" w:hAnsi="宋体" w:cs="宋体"/>
                <w:color w:val="auto"/>
                <w:sz w:val="24"/>
                <w:szCs w:val="24"/>
                <w:lang w:val="en-US" w:eastAsia="zh-CN"/>
              </w:rPr>
              <w:t>0.43万m³</w:t>
            </w:r>
            <w:r>
              <w:rPr>
                <w:rFonts w:hint="default"/>
                <w:color w:val="auto"/>
                <w:sz w:val="24"/>
                <w:lang w:val="en-US" w:eastAsia="zh-CN"/>
              </w:rPr>
              <w:t>，给水工程弃方约</w:t>
            </w:r>
            <w:r>
              <w:rPr>
                <w:rFonts w:hint="eastAsia" w:ascii="宋体" w:hAnsi="宋体" w:cs="宋体"/>
                <w:color w:val="auto"/>
                <w:sz w:val="24"/>
                <w:szCs w:val="24"/>
                <w:lang w:val="en-US" w:eastAsia="zh-CN"/>
              </w:rPr>
              <w:t>3万m³</w:t>
            </w:r>
            <w:r>
              <w:rPr>
                <w:rFonts w:hint="default"/>
                <w:color w:val="auto"/>
                <w:sz w:val="24"/>
                <w:lang w:val="en-US" w:eastAsia="zh-CN"/>
              </w:rPr>
              <w:t>，合计约3.</w:t>
            </w:r>
            <w:r>
              <w:rPr>
                <w:rFonts w:hint="eastAsia"/>
                <w:color w:val="auto"/>
                <w:sz w:val="24"/>
                <w:lang w:val="en-US" w:eastAsia="zh-CN"/>
              </w:rPr>
              <w:t>43</w:t>
            </w:r>
            <w:r>
              <w:rPr>
                <w:rFonts w:hint="default"/>
                <w:color w:val="auto"/>
                <w:sz w:val="24"/>
                <w:lang w:val="en-US" w:eastAsia="zh-CN"/>
              </w:rPr>
              <w:t>万m</w:t>
            </w:r>
            <w:r>
              <w:rPr>
                <w:rFonts w:hint="eastAsia"/>
                <w:color w:val="auto"/>
                <w:sz w:val="24"/>
                <w:vertAlign w:val="superscript"/>
                <w:lang w:val="en-US" w:eastAsia="zh-CN"/>
              </w:rPr>
              <w:t>3</w:t>
            </w:r>
            <w:r>
              <w:rPr>
                <w:rFonts w:hint="default"/>
                <w:color w:val="auto"/>
                <w:sz w:val="24"/>
                <w:lang w:val="en-US" w:eastAsia="zh-CN"/>
              </w:rPr>
              <w:t>。优先用于周边低洼场地平整，不能利用的委托渣土公司运至政府部门指定的建筑垃圾消纳场处置，不单独设置弃渣场。</w:t>
            </w:r>
          </w:p>
          <w:p w14:paraId="650778B0">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②顶管废弃泥浆：经泥水分离系统处理后的泥饼（约3.6万m</w:t>
            </w:r>
            <w:r>
              <w:rPr>
                <w:rFonts w:hint="eastAsia"/>
                <w:color w:val="auto"/>
                <w:sz w:val="24"/>
                <w:vertAlign w:val="superscript"/>
                <w:lang w:val="en-US" w:eastAsia="zh-CN"/>
              </w:rPr>
              <w:t>3</w:t>
            </w:r>
            <w:r>
              <w:rPr>
                <w:rFonts w:hint="default"/>
                <w:color w:val="auto"/>
                <w:sz w:val="24"/>
                <w:lang w:val="en-US" w:eastAsia="zh-CN"/>
              </w:rPr>
              <w:t>），外运至指定消纳场。泥浆固化过程中添加的絮凝剂应选用环保型产品。</w:t>
            </w:r>
          </w:p>
          <w:p w14:paraId="59909793">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③清淤淤泥：清淤量约680m</w:t>
            </w:r>
            <w:r>
              <w:rPr>
                <w:rFonts w:hint="eastAsia"/>
                <w:color w:val="auto"/>
                <w:sz w:val="24"/>
                <w:vertAlign w:val="superscript"/>
                <w:lang w:val="en-US" w:eastAsia="zh-CN"/>
              </w:rPr>
              <w:t>3</w:t>
            </w:r>
            <w:r>
              <w:rPr>
                <w:rFonts w:hint="default"/>
                <w:color w:val="auto"/>
                <w:sz w:val="24"/>
                <w:lang w:val="en-US" w:eastAsia="zh-CN"/>
              </w:rPr>
              <w:t>，经自然晾晒或机械脱水后，交岳阳楼区市政部门统一处理。淤泥运输车辆密闭，防止洒落和臭气逸散。</w:t>
            </w:r>
          </w:p>
          <w:p w14:paraId="23E4614B">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④建筑垃圾：废弃混凝土块、沥青废料、废砖瓦等，分类收集，可回收部分（如废钢筋、废金属）交物资回收公司；不可回收部分运至指定消纳场。废模板、木料等优先回收利用。</w:t>
            </w:r>
          </w:p>
          <w:p w14:paraId="1A33C2A9">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⑤生活垃圾：施工营地设置垃圾桶（每个营地配置10个），生活垃圾集中收集后委托当地环卫部门每日清运，做到日产日清。</w:t>
            </w:r>
          </w:p>
          <w:p w14:paraId="711CDBE9">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⑥ 沉淀池污泥：车辆冲洗沉淀池产生的泥沙（约2t），属一般固废，用于场地平整或就近填埋。隔油池废油按危险废物管理，委托有资质单位处置。</w:t>
            </w:r>
          </w:p>
          <w:p w14:paraId="7CD7C9B7">
            <w:pPr>
              <w:widowControl/>
              <w:snapToGrid w:val="0"/>
              <w:spacing w:line="360" w:lineRule="auto"/>
              <w:ind w:firstLine="482" w:firstLineChars="200"/>
              <w:rPr>
                <w:rFonts w:hint="default"/>
                <w:b/>
                <w:bCs/>
                <w:color w:val="auto"/>
                <w:sz w:val="24"/>
                <w:lang w:val="en-US" w:eastAsia="zh-CN"/>
              </w:rPr>
            </w:pPr>
            <w:r>
              <w:rPr>
                <w:rFonts w:hint="default"/>
                <w:b/>
                <w:bCs/>
                <w:color w:val="auto"/>
                <w:sz w:val="24"/>
                <w:lang w:val="en-US" w:eastAsia="zh-CN"/>
              </w:rPr>
              <w:t>6、运营期生态环境保护措施</w:t>
            </w:r>
          </w:p>
          <w:p w14:paraId="0070F064">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（1）噪声控制措施</w:t>
            </w:r>
          </w:p>
          <w:p w14:paraId="008CA29D">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①加压泵站选用低噪声、低振动水泵（噪声≤70dB(A)），设备安装时设橡胶减振垫或弹簧减振器，进出口管道设柔性橡胶接头。</w:t>
            </w:r>
          </w:p>
          <w:p w14:paraId="2C0055CA">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②泵房采用砖混结构封闭式建筑，墙体厚度≥240mm，门窗采用隔声门窗（隔声量≥25dB(A)）。</w:t>
            </w:r>
          </w:p>
          <w:p w14:paraId="0817BF49">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③设备定期维护保养，防止因设备故障产生异常噪声；尽量安排在昼间运行，夜间减少启停。</w:t>
            </w:r>
          </w:p>
          <w:p w14:paraId="78181366">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④经预测（详见“运营期噪声影响分析”），泵站距最近居民点</w:t>
            </w:r>
            <w:r>
              <w:rPr>
                <w:rFonts w:hint="eastAsia"/>
                <w:color w:val="auto"/>
                <w:sz w:val="24"/>
                <w:lang w:val="en-US" w:eastAsia="zh-CN"/>
              </w:rPr>
              <w:t>超过200</w:t>
            </w:r>
            <w:r>
              <w:rPr>
                <w:rFonts w:hint="default"/>
                <w:color w:val="auto"/>
                <w:sz w:val="24"/>
                <w:lang w:val="en-US" w:eastAsia="zh-CN"/>
              </w:rPr>
              <w:t>m，采取上述措施后，敏感点噪声</w:t>
            </w:r>
            <w:r>
              <w:rPr>
                <w:rFonts w:hint="eastAsia"/>
                <w:color w:val="auto"/>
                <w:sz w:val="24"/>
                <w:lang w:val="en-US" w:eastAsia="zh-CN"/>
              </w:rPr>
              <w:t>影响小</w:t>
            </w:r>
            <w:r>
              <w:rPr>
                <w:rFonts w:hint="default"/>
                <w:color w:val="auto"/>
                <w:sz w:val="24"/>
                <w:lang w:val="en-US" w:eastAsia="zh-CN"/>
              </w:rPr>
              <w:t>，叠加背景噪声后满足2类标准要求。</w:t>
            </w:r>
          </w:p>
          <w:p w14:paraId="781904E3">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（2）固体废物控制措施</w:t>
            </w:r>
          </w:p>
          <w:p w14:paraId="79EA9C79">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①栅渣：格栅拦截的栅渣（约0.5~</w:t>
            </w:r>
            <w:r>
              <w:rPr>
                <w:rFonts w:hint="eastAsia"/>
                <w:color w:val="auto"/>
                <w:sz w:val="24"/>
                <w:lang w:val="en-US" w:eastAsia="zh-CN"/>
              </w:rPr>
              <w:t>3.0</w:t>
            </w:r>
            <w:r>
              <w:rPr>
                <w:rFonts w:hint="default"/>
                <w:color w:val="auto"/>
                <w:sz w:val="24"/>
                <w:lang w:val="en-US" w:eastAsia="zh-CN"/>
              </w:rPr>
              <w:t>t/a）定期清理，集中收集后交由当地环卫部门统一清运处置，不得在泵站内长时间堆放。</w:t>
            </w:r>
          </w:p>
          <w:p w14:paraId="75B3F179">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②危险废物：泵站设备维护保养委托专业公司负责，合同中明确约定：维护产生的废机油、废润滑油、含油抹布等危险废物由维护单位及时清理、分类收集，并按照《危险废物贮存污染控制标准》（GB18597-2023）和《危险废物转移管理办法》要求，交由有资质单位处置，不得在现场存放或随意丢弃。</w:t>
            </w:r>
          </w:p>
          <w:p w14:paraId="22FBDAC1">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③管理台账：建设单位建立固体废物管理台账，记录栅渣清运、设备维护及危险废物转移情况，留存委托合同及转移联单备查。</w:t>
            </w:r>
          </w:p>
          <w:p w14:paraId="160E7D7F">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（3）环境风险防范措施</w:t>
            </w:r>
          </w:p>
          <w:p w14:paraId="5AF339D1">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①运营期建立管道巡查制度，定期对雨水管道、给水管道进行检查维护，利用</w:t>
            </w:r>
            <w:r>
              <w:rPr>
                <w:rFonts w:hint="eastAsia" w:ascii="宋体" w:hAnsi="宋体" w:cs="宋体"/>
                <w:b w:val="0"/>
                <w:bCs w:val="0"/>
                <w:color w:val="auto"/>
                <w:sz w:val="24"/>
                <w:szCs w:val="24"/>
                <w:lang w:val="en-US" w:eastAsia="zh-CN"/>
              </w:rPr>
              <w:t>CCTV（闭路电视）</w:t>
            </w:r>
            <w:r>
              <w:rPr>
                <w:rFonts w:hint="default"/>
                <w:color w:val="auto"/>
                <w:sz w:val="24"/>
                <w:lang w:val="en-US" w:eastAsia="zh-CN"/>
              </w:rPr>
              <w:t>检测技术排查管道结构隐患。</w:t>
            </w:r>
          </w:p>
          <w:p w14:paraId="4235C982">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②泵站设置双回路供电或备用发电机，关键设备一用一备，建立远程监控系统，确保故障及时发现和修复。</w:t>
            </w:r>
          </w:p>
          <w:p w14:paraId="1575E29E">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③给水管道与市政管理单位建立联动机制，防止第三方施工破坏。</w:t>
            </w:r>
          </w:p>
          <w:p w14:paraId="2F3DFCCC">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7、环境管理与监测计划</w:t>
            </w:r>
          </w:p>
          <w:p w14:paraId="7AD97488">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（1）施工期环境管理</w:t>
            </w:r>
          </w:p>
          <w:p w14:paraId="44C1CDA2">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①建设单位成立环保管理小组，配备专职环保员，负责施工期环保措施的监督落实。</w:t>
            </w:r>
          </w:p>
          <w:p w14:paraId="3071E459">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②实施环境监理制度，委托有资质的环境监理单位对施工过程进行日常巡视，发现环保问题及时下达整改指令。</w:t>
            </w:r>
          </w:p>
          <w:p w14:paraId="092E5326">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③施工单位在施工合同中明确环保责任，将环保措施纳入施工组织设计。</w:t>
            </w:r>
          </w:p>
          <w:p w14:paraId="35242077">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（2）施工期环境监测计划</w:t>
            </w:r>
          </w:p>
          <w:p w14:paraId="3F64EA11">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委托有资质的监测单位开展施工期环境监测，具体计划如下：</w:t>
            </w:r>
          </w:p>
          <w:p w14:paraId="628A0ACD">
            <w:pPr>
              <w:pStyle w:val="19"/>
              <w:keepNext/>
              <w:keepLines w:val="0"/>
              <w:pageBreakBefore w:val="0"/>
              <w:widowControl w:val="0"/>
              <w:kinsoku/>
              <w:wordWrap/>
              <w:overflowPunct/>
              <w:topLinePunct w:val="0"/>
              <w:autoSpaceDE/>
              <w:autoSpaceDN/>
              <w:bidi w:val="0"/>
              <w:adjustRightInd/>
              <w:snapToGrid/>
              <w:spacing w:before="0"/>
              <w:textAlignment w:val="auto"/>
              <w:rPr>
                <w:rFonts w:hint="default"/>
                <w:b w:val="0"/>
                <w:bCs/>
                <w:color w:val="auto"/>
                <w:lang w:val="en-US" w:eastAsia="zh-CN"/>
              </w:rPr>
            </w:pPr>
            <w:r>
              <w:rPr>
                <w:rFonts w:hint="eastAsia"/>
                <w:b w:val="0"/>
                <w:bCs/>
                <w:color w:val="auto"/>
                <w:lang w:val="en-US" w:eastAsia="zh-CN"/>
              </w:rPr>
              <w:t>表5-1  施工期监测计划表</w:t>
            </w:r>
          </w:p>
          <w:tbl>
            <w:tblPr>
              <w:tblStyle w:val="9"/>
              <w:tblW w:w="8220"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710"/>
              <w:gridCol w:w="2770"/>
              <w:gridCol w:w="1380"/>
              <w:gridCol w:w="2110"/>
              <w:gridCol w:w="1250"/>
            </w:tblGrid>
            <w:tr w14:paraId="2871DC4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710" w:type="dxa"/>
                  <w:tcBorders>
                    <w:tl2br w:val="nil"/>
                    <w:tr2bl w:val="nil"/>
                  </w:tcBorders>
                  <w:shd w:val="clear" w:color="auto" w:fill="auto"/>
                  <w:vAlign w:val="center"/>
                </w:tcPr>
                <w:p w14:paraId="2EDA2641">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监测要素</w:t>
                  </w:r>
                </w:p>
              </w:tc>
              <w:tc>
                <w:tcPr>
                  <w:tcW w:w="2770" w:type="dxa"/>
                  <w:tcBorders>
                    <w:tl2br w:val="nil"/>
                    <w:tr2bl w:val="nil"/>
                  </w:tcBorders>
                  <w:shd w:val="clear" w:color="auto" w:fill="auto"/>
                  <w:vAlign w:val="center"/>
                </w:tcPr>
                <w:p w14:paraId="1505D06A">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监测点位</w:t>
                  </w:r>
                </w:p>
              </w:tc>
              <w:tc>
                <w:tcPr>
                  <w:tcW w:w="1380" w:type="dxa"/>
                  <w:tcBorders>
                    <w:tl2br w:val="nil"/>
                    <w:tr2bl w:val="nil"/>
                  </w:tcBorders>
                  <w:shd w:val="clear" w:color="auto" w:fill="auto"/>
                  <w:vAlign w:val="center"/>
                </w:tcPr>
                <w:p w14:paraId="21714CA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监测项目</w:t>
                  </w:r>
                </w:p>
              </w:tc>
              <w:tc>
                <w:tcPr>
                  <w:tcW w:w="2110" w:type="dxa"/>
                  <w:tcBorders>
                    <w:tl2br w:val="nil"/>
                    <w:tr2bl w:val="nil"/>
                  </w:tcBorders>
                  <w:shd w:val="clear" w:color="auto" w:fill="auto"/>
                  <w:vAlign w:val="center"/>
                </w:tcPr>
                <w:p w14:paraId="34C3014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监测频次</w:t>
                  </w:r>
                </w:p>
              </w:tc>
              <w:tc>
                <w:tcPr>
                  <w:tcW w:w="1250" w:type="dxa"/>
                  <w:tcBorders>
                    <w:tl2br w:val="nil"/>
                    <w:tr2bl w:val="nil"/>
                  </w:tcBorders>
                  <w:shd w:val="clear" w:color="auto" w:fill="auto"/>
                  <w:vAlign w:val="center"/>
                </w:tcPr>
                <w:p w14:paraId="7027E883">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执行标准</w:t>
                  </w:r>
                </w:p>
              </w:tc>
            </w:tr>
            <w:tr w14:paraId="70F3875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710" w:type="dxa"/>
                  <w:tcBorders>
                    <w:tl2br w:val="nil"/>
                    <w:tr2bl w:val="nil"/>
                  </w:tcBorders>
                  <w:shd w:val="clear" w:color="auto" w:fill="auto"/>
                  <w:vAlign w:val="center"/>
                </w:tcPr>
                <w:p w14:paraId="5B9CA9CF">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大气环境</w:t>
                  </w:r>
                </w:p>
              </w:tc>
              <w:tc>
                <w:tcPr>
                  <w:tcW w:w="2770" w:type="dxa"/>
                  <w:tcBorders>
                    <w:tl2br w:val="nil"/>
                    <w:tr2bl w:val="nil"/>
                  </w:tcBorders>
                  <w:shd w:val="clear" w:color="auto" w:fill="auto"/>
                  <w:vAlign w:val="center"/>
                </w:tcPr>
                <w:p w14:paraId="345841EF">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距施工点最近的敏感点（金税小区、融创实验学校、郭兴小学等）</w:t>
                  </w:r>
                </w:p>
              </w:tc>
              <w:tc>
                <w:tcPr>
                  <w:tcW w:w="1380" w:type="dxa"/>
                  <w:tcBorders>
                    <w:tl2br w:val="nil"/>
                    <w:tr2bl w:val="nil"/>
                  </w:tcBorders>
                  <w:shd w:val="clear" w:color="auto" w:fill="auto"/>
                  <w:vAlign w:val="center"/>
                </w:tcPr>
                <w:p w14:paraId="78E18B0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TSP</w:t>
                  </w:r>
                </w:p>
              </w:tc>
              <w:tc>
                <w:tcPr>
                  <w:tcW w:w="2110" w:type="dxa"/>
                  <w:tcBorders>
                    <w:tl2br w:val="nil"/>
                    <w:tr2bl w:val="nil"/>
                  </w:tcBorders>
                  <w:shd w:val="clear" w:color="auto" w:fill="auto"/>
                  <w:vAlign w:val="center"/>
                </w:tcPr>
                <w:p w14:paraId="0EFA8334">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施工高峰期每月1次，每次连续监测3天</w:t>
                  </w:r>
                </w:p>
              </w:tc>
              <w:tc>
                <w:tcPr>
                  <w:tcW w:w="1250" w:type="dxa"/>
                  <w:tcBorders>
                    <w:tl2br w:val="nil"/>
                    <w:tr2bl w:val="nil"/>
                  </w:tcBorders>
                  <w:shd w:val="clear" w:color="auto" w:fill="auto"/>
                  <w:vAlign w:val="center"/>
                </w:tcPr>
                <w:p w14:paraId="44F9111C">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GB3095-2026 二级</w:t>
                  </w:r>
                </w:p>
              </w:tc>
            </w:tr>
            <w:tr w14:paraId="377D91C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710" w:type="dxa"/>
                  <w:tcBorders>
                    <w:tl2br w:val="nil"/>
                    <w:tr2bl w:val="nil"/>
                  </w:tcBorders>
                  <w:shd w:val="clear" w:color="auto" w:fill="auto"/>
                  <w:vAlign w:val="center"/>
                </w:tcPr>
                <w:p w14:paraId="7B612E8F">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声环境</w:t>
                  </w:r>
                </w:p>
              </w:tc>
              <w:tc>
                <w:tcPr>
                  <w:tcW w:w="2770" w:type="dxa"/>
                  <w:tcBorders>
                    <w:tl2br w:val="nil"/>
                    <w:tr2bl w:val="nil"/>
                  </w:tcBorders>
                  <w:shd w:val="clear" w:color="auto" w:fill="auto"/>
                  <w:vAlign w:val="center"/>
                </w:tcPr>
                <w:p w14:paraId="1D05F35B">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施工场界及周边敏感点</w:t>
                  </w:r>
                </w:p>
              </w:tc>
              <w:tc>
                <w:tcPr>
                  <w:tcW w:w="1380" w:type="dxa"/>
                  <w:tcBorders>
                    <w:tl2br w:val="nil"/>
                    <w:tr2bl w:val="nil"/>
                  </w:tcBorders>
                  <w:shd w:val="clear" w:color="auto" w:fill="auto"/>
                  <w:vAlign w:val="center"/>
                </w:tcPr>
                <w:p w14:paraId="00E034E7">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等效连续A声级（Leq）</w:t>
                  </w:r>
                </w:p>
              </w:tc>
              <w:tc>
                <w:tcPr>
                  <w:tcW w:w="2110" w:type="dxa"/>
                  <w:tcBorders>
                    <w:tl2br w:val="nil"/>
                    <w:tr2bl w:val="nil"/>
                  </w:tcBorders>
                  <w:shd w:val="clear" w:color="auto" w:fill="auto"/>
                  <w:vAlign w:val="center"/>
                </w:tcPr>
                <w:p w14:paraId="6707EDA6">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施工高峰期每月1次，每次昼夜各1次</w:t>
                  </w:r>
                </w:p>
              </w:tc>
              <w:tc>
                <w:tcPr>
                  <w:tcW w:w="1250" w:type="dxa"/>
                  <w:tcBorders>
                    <w:tl2br w:val="nil"/>
                    <w:tr2bl w:val="nil"/>
                  </w:tcBorders>
                  <w:shd w:val="clear" w:color="auto" w:fill="auto"/>
                  <w:vAlign w:val="center"/>
                </w:tcPr>
                <w:p w14:paraId="78694068">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GB12523-2011</w:t>
                  </w:r>
                </w:p>
              </w:tc>
            </w:tr>
            <w:tr w14:paraId="4D43560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710" w:type="dxa"/>
                  <w:tcBorders>
                    <w:tl2br w:val="nil"/>
                    <w:tr2bl w:val="nil"/>
                  </w:tcBorders>
                  <w:shd w:val="clear" w:color="auto" w:fill="auto"/>
                  <w:vAlign w:val="center"/>
                </w:tcPr>
                <w:p w14:paraId="14CF00E8">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地表水</w:t>
                  </w:r>
                </w:p>
              </w:tc>
              <w:tc>
                <w:tcPr>
                  <w:tcW w:w="2770" w:type="dxa"/>
                  <w:tcBorders>
                    <w:tl2br w:val="nil"/>
                    <w:tr2bl w:val="nil"/>
                  </w:tcBorders>
                  <w:shd w:val="clear" w:color="auto" w:fill="auto"/>
                  <w:vAlign w:val="center"/>
                </w:tcPr>
                <w:p w14:paraId="4BC044C8">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王家河（雨水排口上下游各100m）</w:t>
                  </w:r>
                </w:p>
              </w:tc>
              <w:tc>
                <w:tcPr>
                  <w:tcW w:w="1380" w:type="dxa"/>
                  <w:tcBorders>
                    <w:tl2br w:val="nil"/>
                    <w:tr2bl w:val="nil"/>
                  </w:tcBorders>
                  <w:shd w:val="clear" w:color="auto" w:fill="auto"/>
                  <w:vAlign w:val="center"/>
                </w:tcPr>
                <w:p w14:paraId="41046645">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pH、SS、COD、石油类</w:t>
                  </w:r>
                </w:p>
              </w:tc>
              <w:tc>
                <w:tcPr>
                  <w:tcW w:w="2110" w:type="dxa"/>
                  <w:tcBorders>
                    <w:tl2br w:val="nil"/>
                    <w:tr2bl w:val="nil"/>
                  </w:tcBorders>
                  <w:shd w:val="clear" w:color="auto" w:fill="auto"/>
                  <w:vAlign w:val="center"/>
                </w:tcPr>
                <w:p w14:paraId="48D2F1C8">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涉水施工期间每月1次</w:t>
                  </w:r>
                </w:p>
              </w:tc>
              <w:tc>
                <w:tcPr>
                  <w:tcW w:w="1250" w:type="dxa"/>
                  <w:tcBorders>
                    <w:tl2br w:val="nil"/>
                    <w:tr2bl w:val="nil"/>
                  </w:tcBorders>
                  <w:shd w:val="clear" w:color="auto" w:fill="auto"/>
                  <w:vAlign w:val="center"/>
                </w:tcPr>
                <w:p w14:paraId="05CBC0C1">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GB3838-2002 Ⅲ类</w:t>
                  </w:r>
                </w:p>
              </w:tc>
            </w:tr>
          </w:tbl>
          <w:p w14:paraId="3E634D4F">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若监测结果出现超标，应立即停止相关施工作业，分析原因并采取整改措施，达标后方可复工。</w:t>
            </w:r>
          </w:p>
        </w:tc>
      </w:tr>
      <w:tr w14:paraId="1BBB4E3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49" w:type="dxa"/>
            <w:tcMar>
              <w:left w:w="28" w:type="dxa"/>
              <w:right w:w="28" w:type="dxa"/>
            </w:tcMar>
            <w:vAlign w:val="center"/>
          </w:tcPr>
          <w:p w14:paraId="29A812A1">
            <w:pPr>
              <w:adjustRightInd w:val="0"/>
              <w:snapToGrid w:val="0"/>
              <w:jc w:val="center"/>
              <w:rPr>
                <w:rFonts w:hint="eastAsia" w:ascii="宋体" w:hAnsi="宋体" w:cs="宋体"/>
                <w:bCs/>
                <w:color w:val="FF0000"/>
                <w:sz w:val="24"/>
                <w:szCs w:val="24"/>
                <w:lang w:val="en-US" w:eastAsia="zh-CN"/>
              </w:rPr>
            </w:pPr>
            <w:r>
              <w:rPr>
                <w:rFonts w:hint="eastAsia" w:ascii="宋体" w:hAnsi="宋体" w:cs="宋体"/>
                <w:bCs/>
                <w:color w:val="auto"/>
                <w:sz w:val="24"/>
                <w:szCs w:val="24"/>
                <w:lang w:val="en-US" w:eastAsia="zh-CN"/>
              </w:rPr>
              <w:t>运营期生态环境保护措施</w:t>
            </w:r>
          </w:p>
        </w:tc>
        <w:tc>
          <w:tcPr>
            <w:tcW w:w="8359" w:type="dxa"/>
            <w:vAlign w:val="center"/>
          </w:tcPr>
          <w:p w14:paraId="5D2A05DA">
            <w:pPr>
              <w:widowControl/>
              <w:snapToGrid w:val="0"/>
              <w:spacing w:line="360" w:lineRule="auto"/>
              <w:ind w:firstLine="482" w:firstLineChars="200"/>
              <w:rPr>
                <w:rFonts w:hint="default"/>
                <w:b/>
                <w:bCs/>
                <w:color w:val="auto"/>
                <w:sz w:val="24"/>
                <w:lang w:val="en-US" w:eastAsia="zh-CN"/>
              </w:rPr>
            </w:pPr>
            <w:r>
              <w:rPr>
                <w:rFonts w:hint="default"/>
                <w:b/>
                <w:bCs/>
                <w:color w:val="auto"/>
                <w:sz w:val="24"/>
                <w:lang w:val="en-US" w:eastAsia="zh-CN"/>
              </w:rPr>
              <w:t>1、运营期噪声污染防治措施</w:t>
            </w:r>
          </w:p>
          <w:p w14:paraId="78051B22">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本项目运营期噪声源主要为</w:t>
            </w:r>
            <w:r>
              <w:rPr>
                <w:rFonts w:hint="eastAsia"/>
                <w:color w:val="auto"/>
                <w:sz w:val="24"/>
                <w:lang w:val="en-US" w:eastAsia="zh-CN"/>
              </w:rPr>
              <w:t>郭镇</w:t>
            </w:r>
            <w:r>
              <w:rPr>
                <w:rFonts w:hint="default"/>
                <w:color w:val="auto"/>
                <w:sz w:val="24"/>
                <w:highlight w:val="none"/>
                <w:lang w:val="en-US" w:eastAsia="zh-CN"/>
              </w:rPr>
              <w:t>乡</w:t>
            </w:r>
            <w:r>
              <w:rPr>
                <w:rFonts w:hint="eastAsia"/>
                <w:color w:val="auto"/>
                <w:sz w:val="24"/>
                <w:highlight w:val="none"/>
                <w:lang w:val="en-US" w:eastAsia="zh-CN"/>
              </w:rPr>
              <w:t>仓田村原址重建（</w:t>
            </w:r>
            <w:r>
              <w:rPr>
                <w:rFonts w:hint="default"/>
                <w:color w:val="auto"/>
                <w:sz w:val="24"/>
                <w:highlight w:val="none"/>
                <w:lang w:val="en-US" w:eastAsia="zh-CN"/>
              </w:rPr>
              <w:t>新建</w:t>
            </w:r>
            <w:r>
              <w:rPr>
                <w:rFonts w:hint="eastAsia"/>
                <w:color w:val="auto"/>
                <w:sz w:val="24"/>
                <w:highlight w:val="none"/>
                <w:lang w:val="en-US" w:eastAsia="zh-CN"/>
              </w:rPr>
              <w:t>）</w:t>
            </w:r>
            <w:r>
              <w:rPr>
                <w:rFonts w:hint="default"/>
                <w:color w:val="auto"/>
                <w:sz w:val="24"/>
                <w:highlight w:val="none"/>
                <w:lang w:val="en-US" w:eastAsia="zh-CN"/>
              </w:rPr>
              <w:t>加压泵站（1座），水泵运行噪声约60~80dB(A)。</w:t>
            </w:r>
            <w:r>
              <w:rPr>
                <w:rFonts w:hint="default"/>
                <w:color w:val="auto"/>
                <w:sz w:val="24"/>
                <w:lang w:val="en-US" w:eastAsia="zh-CN"/>
              </w:rPr>
              <w:t>泵站距最近居民点约</w:t>
            </w:r>
            <w:r>
              <w:rPr>
                <w:rFonts w:hint="eastAsia"/>
                <w:color w:val="auto"/>
                <w:sz w:val="24"/>
                <w:lang w:val="en-US" w:eastAsia="zh-CN"/>
              </w:rPr>
              <w:t>230</w:t>
            </w:r>
            <w:r>
              <w:rPr>
                <w:rFonts w:hint="default"/>
                <w:color w:val="auto"/>
                <w:sz w:val="24"/>
                <w:lang w:val="en-US" w:eastAsia="zh-CN"/>
              </w:rPr>
              <w:t>m，为保障运营期声环境达标，采取以下措施：</w:t>
            </w:r>
          </w:p>
          <w:p w14:paraId="3956E218">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（1）设备选型与源头控制</w:t>
            </w:r>
          </w:p>
          <w:p w14:paraId="2315D950">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选用低噪声、低振动水泵（优先选用潜水式水泵或配备隔声罩），单台设备噪声控制在70dB(A)以下。</w:t>
            </w:r>
          </w:p>
          <w:p w14:paraId="6CB72384">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电机选用高效节能、低噪声型号，配套风机选用低噪声轴流风机。</w:t>
            </w:r>
          </w:p>
          <w:p w14:paraId="4607278B">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（2）基础减振与隔振</w:t>
            </w:r>
          </w:p>
          <w:p w14:paraId="57FA5D92">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水泵安装在坚固的混凝土基础上，设备与基础之间设置橡胶减振垫或弹簧减振器，减振效率≥15dB(A)。</w:t>
            </w:r>
          </w:p>
          <w:p w14:paraId="6FD03F8F">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水泵进出口管道与设备连接处采用柔性橡胶接头（软接头），管道支架采用弹性支撑，防止振动沿管道传递。</w:t>
            </w:r>
          </w:p>
          <w:p w14:paraId="074CD2EF">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（3）泵房建筑隔声</w:t>
            </w:r>
          </w:p>
          <w:p w14:paraId="71A2E16B">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泵房采用实心砖墙结构，墙体厚度≥240mm，墙体双面抹灰，综合隔声量≥20dB(A)。</w:t>
            </w:r>
          </w:p>
          <w:p w14:paraId="654A39C6">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门窗采用隔声门窗：隔声门（钢板+吸声材料，隔声量≥25dB(A)），隔声窗（双层中空玻璃，隔声量≥25dB(A)）。</w:t>
            </w:r>
          </w:p>
          <w:p w14:paraId="2B35302E">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泵房内墙面可加装吸声材料（如聚氨酯泡沫吸声板、玻璃棉板等），降低室内混响噪声。</w:t>
            </w:r>
          </w:p>
          <w:p w14:paraId="235D0AB0">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（4）运行管理措施</w:t>
            </w:r>
          </w:p>
          <w:p w14:paraId="1E44B4E2">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设备定期维护保养（每季度至少1次），检查减振装置、柔性接头的完好性，紧固松动部件，防止因设备故障产生异常噪声。</w:t>
            </w:r>
          </w:p>
          <w:p w14:paraId="11B2100E">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供水系统尽量安排在昼间（06:00~22:00）运行，夜间（22:00~次日06:00）减少不必要的启停；若需夜间运行，应确保厂界噪声达标。</w:t>
            </w:r>
          </w:p>
          <w:p w14:paraId="54E9E5E9">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建立设备运行台账，记录设备运行时间、维护检修情况。</w:t>
            </w:r>
          </w:p>
          <w:p w14:paraId="2D12504D">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效果预测：采取上述措施后，泵房外1m处噪声约55dB(A)，经190m距离衰减后，敏感点处噪声贡献值约9.4dB(A)，叠加背景噪声后，满足《工业企业厂界环境噪声排放标准》（GB12348-2008）2类标准（昼间60dB(A)，夜间50dB(A)）。</w:t>
            </w:r>
          </w:p>
          <w:p w14:paraId="62BE39DF">
            <w:pPr>
              <w:widowControl/>
              <w:snapToGrid w:val="0"/>
              <w:spacing w:line="360" w:lineRule="auto"/>
              <w:ind w:firstLine="482" w:firstLineChars="200"/>
              <w:rPr>
                <w:rFonts w:hint="default"/>
                <w:b/>
                <w:bCs/>
                <w:color w:val="auto"/>
                <w:sz w:val="24"/>
                <w:lang w:val="en-US" w:eastAsia="zh-CN"/>
              </w:rPr>
            </w:pPr>
            <w:r>
              <w:rPr>
                <w:rFonts w:hint="default"/>
                <w:b/>
                <w:bCs/>
                <w:color w:val="auto"/>
                <w:sz w:val="24"/>
                <w:lang w:val="en-US" w:eastAsia="zh-CN"/>
              </w:rPr>
              <w:t>2、运营期固体废物污染防治措施</w:t>
            </w:r>
          </w:p>
          <w:p w14:paraId="216C2C1D">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运营期固体废物包括泵站格栅拦截的栅渣和设备维护产生的危险废物。</w:t>
            </w:r>
          </w:p>
          <w:p w14:paraId="01262889">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（1）栅渣（一般固废）</w:t>
            </w:r>
          </w:p>
          <w:p w14:paraId="139F0364">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产生情况：格栅，拦截树枝、塑料袋等杂物，栅渣产生量约0.</w:t>
            </w:r>
            <w:r>
              <w:rPr>
                <w:rFonts w:hint="eastAsia"/>
                <w:color w:val="auto"/>
                <w:sz w:val="24"/>
                <w:lang w:val="en-US" w:eastAsia="zh-CN"/>
              </w:rPr>
              <w:t>5</w:t>
            </w:r>
            <w:r>
              <w:rPr>
                <w:rFonts w:hint="default"/>
                <w:color w:val="auto"/>
                <w:sz w:val="24"/>
                <w:lang w:val="en-US" w:eastAsia="zh-CN"/>
              </w:rPr>
              <w:t>~</w:t>
            </w:r>
            <w:r>
              <w:rPr>
                <w:rFonts w:hint="eastAsia"/>
                <w:color w:val="auto"/>
                <w:sz w:val="24"/>
                <w:lang w:val="en-US" w:eastAsia="zh-CN"/>
              </w:rPr>
              <w:t>3.0</w:t>
            </w:r>
            <w:r>
              <w:rPr>
                <w:rFonts w:hint="default"/>
                <w:color w:val="auto"/>
                <w:sz w:val="24"/>
                <w:lang w:val="en-US" w:eastAsia="zh-CN"/>
              </w:rPr>
              <w:t>t/a。</w:t>
            </w:r>
          </w:p>
          <w:p w14:paraId="26692154">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处置措施：</w:t>
            </w:r>
          </w:p>
          <w:p w14:paraId="0E3710F0">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制定栅渣清理计划，每周或每半月清理1次（汛期加密）。</w:t>
            </w:r>
          </w:p>
          <w:p w14:paraId="2AA82272">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栅渣集中收集于密闭垃圾桶内，交由当地环卫部门统一清运处置。</w:t>
            </w:r>
          </w:p>
          <w:p w14:paraId="1F5E2199">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不得在泵站内长时间堆放，避免腐烂产生异味或滋生蚊虫。</w:t>
            </w:r>
          </w:p>
          <w:p w14:paraId="03CC3D19">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（2）危险废物（废机油、含油抹布等）</w:t>
            </w:r>
          </w:p>
          <w:p w14:paraId="2D761B10">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产生情况：泵站设备维护保养（如更换润滑油、维修水泵）产生废机油、废润滑油（HW08，废物代码900-214-08）、含油抹布及手套（HW49，废物代码900-041-49），产生量很小（每年约5~10kg）。</w:t>
            </w:r>
          </w:p>
          <w:p w14:paraId="00A48886">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处置措施：</w:t>
            </w:r>
          </w:p>
          <w:p w14:paraId="45BDA001">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本项目不自行维修保养设备，所有维护工作委托具有相应资质的专业公司负责。</w:t>
            </w:r>
          </w:p>
          <w:p w14:paraId="1A277CA8">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委托合同中明确约定：维护产生的废机油、废润滑油、含油抹布等危险废物由维护单位及时清理、分类收集，按照《危险废物贮存污染控制标准》（GB18597-2023）和《危险废物转移管理办法》要求，交由有资质的单位处置，不得在泵站现场存放或随意丢弃。</w:t>
            </w:r>
          </w:p>
          <w:p w14:paraId="73880975">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维护单位进场前应核实其危险废物经营许可证及运输单位资质。</w:t>
            </w:r>
          </w:p>
          <w:p w14:paraId="6EDE94E4">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（3）管理要求</w:t>
            </w:r>
          </w:p>
          <w:p w14:paraId="55DE93EB">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建立固体废物管理台账，记录栅渣清运时间、数量及去向。</w:t>
            </w:r>
          </w:p>
          <w:p w14:paraId="6DBCF212">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保存设备维护委托合同、危险废物转移联单（如有）备查，保存期限不少于5年。</w:t>
            </w:r>
          </w:p>
          <w:p w14:paraId="28F0A4B4">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建设单位对固废处置情况定期自查，确保措施落实到位。</w:t>
            </w:r>
          </w:p>
          <w:p w14:paraId="2EAB7E9E">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3、运营期水环境保护措施</w:t>
            </w:r>
          </w:p>
          <w:p w14:paraId="0A4BFDC1">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（1）防洪排涝工程</w:t>
            </w:r>
          </w:p>
          <w:p w14:paraId="16136792">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运营期雨水管道及排水管沟仅输送雨水，不产生污染物。定期（每年汛前、汛后）对雨水管道、检查井进行清疏维护，防止淤积堵塞影响排水能力。</w:t>
            </w:r>
          </w:p>
          <w:p w14:paraId="430D4DF3">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利用CCTV（闭路电视）检测技术每2~3年对雨水管道结构状况进行检测，发现破损、渗漏及时修复，防止雨水外溢或地下水入渗。</w:t>
            </w:r>
          </w:p>
          <w:p w14:paraId="5F7F183D">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固定堰分流井定期检查堰体结构及闸门启闭装置，确保运行正常。</w:t>
            </w:r>
          </w:p>
          <w:p w14:paraId="2D94E0A7">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（2）给水工程</w:t>
            </w:r>
          </w:p>
          <w:p w14:paraId="2FC1C2CE">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运营期给水管道为全封闭系统，正常运行时无废水排放。</w:t>
            </w:r>
          </w:p>
          <w:p w14:paraId="1CEFD267">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建立给水管网巡检制度，每月对管线进行巡查，发现渗漏及时抢修，减少水资源损失。</w:t>
            </w:r>
          </w:p>
          <w:p w14:paraId="11716525">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加压泵站运行过程不产生废水，泵房地面冲洗水（若有）经沉淀后排入市政污水管网。</w:t>
            </w:r>
          </w:p>
          <w:p w14:paraId="22852B23">
            <w:pPr>
              <w:widowControl/>
              <w:snapToGrid w:val="0"/>
              <w:spacing w:line="360" w:lineRule="auto"/>
              <w:ind w:firstLine="482" w:firstLineChars="200"/>
              <w:rPr>
                <w:rFonts w:hint="default"/>
                <w:b/>
                <w:bCs/>
                <w:color w:val="auto"/>
                <w:sz w:val="24"/>
                <w:lang w:val="en-US" w:eastAsia="zh-CN"/>
              </w:rPr>
            </w:pPr>
            <w:r>
              <w:rPr>
                <w:rFonts w:hint="default"/>
                <w:b/>
                <w:bCs/>
                <w:color w:val="auto"/>
                <w:sz w:val="24"/>
                <w:lang w:val="en-US" w:eastAsia="zh-CN"/>
              </w:rPr>
              <w:t>4、运营期环境风险防范措施</w:t>
            </w:r>
          </w:p>
          <w:p w14:paraId="662C1437">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（1）雨水管道破损风险</w:t>
            </w:r>
          </w:p>
          <w:p w14:paraId="24B32349">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风险情景：管道老化、地面沉降、外部施工破坏导致管道破损，雨水外溢造成局部积水或水土流失。</w:t>
            </w:r>
          </w:p>
          <w:p w14:paraId="60F178EC">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防范措施：</w:t>
            </w:r>
          </w:p>
          <w:p w14:paraId="5F76B073">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运营期建立管道巡查制度，每季度对雨水管道、检查井进行全面巡查。</w:t>
            </w:r>
          </w:p>
          <w:p w14:paraId="68A6EA10">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每年汛前、汛后委托专业单位进行管道检测（CCTV），及时发现结构缺陷并修复。</w:t>
            </w:r>
          </w:p>
          <w:p w14:paraId="7F2664DD">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与市政管理单位建立联动机制，防止第三方施工破坏。</w:t>
            </w:r>
          </w:p>
          <w:p w14:paraId="25A5A032">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（2）给水管道爆管风险</w:t>
            </w:r>
          </w:p>
          <w:p w14:paraId="18F5782F">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风险情景：管材质量缺陷、水锤冲击、外部施工破坏导致爆管，造成水资源浪费和局部冲刷。</w:t>
            </w:r>
          </w:p>
          <w:p w14:paraId="60256DF4">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防范措施：</w:t>
            </w:r>
          </w:p>
          <w:p w14:paraId="4F2C8972">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运营期建立分区压力监测系统，实时监控管网压力，发现异常波动及时排查。</w:t>
            </w:r>
          </w:p>
          <w:p w14:paraId="430E080F">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在管道高点设置自动排气阀，防止水锤冲击。</w:t>
            </w:r>
          </w:p>
          <w:p w14:paraId="2EDFA177">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与市政管理部门、施工单位建立信息共享机制，施工前核实地下管线位置，防止外破。</w:t>
            </w:r>
          </w:p>
          <w:p w14:paraId="12DE6C7F">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（3）泵站设备故障风险</w:t>
            </w:r>
          </w:p>
          <w:p w14:paraId="6EBA1B6A">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风险情景：供电中断或设备故障导致供水水压不足甚至停水，影响居民正常用水。</w:t>
            </w:r>
          </w:p>
          <w:p w14:paraId="12BBCF94">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防范措施：</w:t>
            </w:r>
          </w:p>
          <w:p w14:paraId="4A6B2E1F">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泵站设置双回路供电或配备备用发电机，确保供电可靠性。</w:t>
            </w:r>
          </w:p>
          <w:p w14:paraId="781FA656">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关键设备（水泵、控制系统）采用一用一备配置。</w:t>
            </w:r>
          </w:p>
          <w:p w14:paraId="488FE5EA">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建立24小时远程监控系统或值班制度，确保故障及时发现和修复。</w:t>
            </w:r>
          </w:p>
          <w:p w14:paraId="022419B1">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储备必要的备品备件，缩短故障修复时间。</w:t>
            </w:r>
          </w:p>
          <w:p w14:paraId="0A44B32C">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5、运营期环境管理与监测计划</w:t>
            </w:r>
          </w:p>
          <w:p w14:paraId="6C8BC37A">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（1）运营期环境管理</w:t>
            </w:r>
          </w:p>
          <w:p w14:paraId="20C96CE6">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建设单位（</w:t>
            </w:r>
            <w:r>
              <w:rPr>
                <w:rFonts w:hint="eastAsia"/>
                <w:color w:val="auto"/>
                <w:sz w:val="24"/>
                <w:lang w:val="en-US" w:eastAsia="zh-CN"/>
              </w:rPr>
              <w:t>岳阳市岳阳楼区水利局</w:t>
            </w:r>
            <w:r>
              <w:rPr>
                <w:rFonts w:hint="default"/>
                <w:color w:val="auto"/>
                <w:sz w:val="24"/>
                <w:lang w:val="en-US" w:eastAsia="zh-CN"/>
              </w:rPr>
              <w:t>）应指定专人负责运营期环保管理，定期检查环保设施运行情况。</w:t>
            </w:r>
          </w:p>
          <w:p w14:paraId="0EB2D25B">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建立运营期环保台账，记录噪声防治设施维护、固废处置、管道巡检等情况。</w:t>
            </w:r>
          </w:p>
          <w:p w14:paraId="48DB755F">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每年向生态环境主管部门报送运营期环境管理报告（如要求）。</w:t>
            </w:r>
          </w:p>
          <w:p w14:paraId="36281898">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（2）运营期环境监测计划</w:t>
            </w:r>
          </w:p>
          <w:p w14:paraId="4FA9EC35">
            <w:pPr>
              <w:pStyle w:val="19"/>
              <w:keepNext/>
              <w:keepLines w:val="0"/>
              <w:pageBreakBefore w:val="0"/>
              <w:widowControl w:val="0"/>
              <w:kinsoku/>
              <w:wordWrap/>
              <w:overflowPunct/>
              <w:topLinePunct w:val="0"/>
              <w:autoSpaceDE/>
              <w:autoSpaceDN/>
              <w:bidi w:val="0"/>
              <w:adjustRightInd/>
              <w:snapToGrid/>
              <w:spacing w:before="0"/>
              <w:textAlignment w:val="auto"/>
              <w:rPr>
                <w:rFonts w:hint="default"/>
                <w:b w:val="0"/>
                <w:bCs/>
                <w:color w:val="auto"/>
                <w:lang w:val="en-US" w:eastAsia="zh-CN"/>
              </w:rPr>
            </w:pPr>
            <w:r>
              <w:rPr>
                <w:rFonts w:hint="eastAsia"/>
                <w:b w:val="0"/>
                <w:bCs/>
                <w:color w:val="auto"/>
                <w:lang w:val="en-US" w:eastAsia="zh-CN"/>
              </w:rPr>
              <w:t>表5-2  运营期监测计划表</w:t>
            </w:r>
          </w:p>
          <w:tbl>
            <w:tblPr>
              <w:tblStyle w:val="9"/>
              <w:tblW w:w="8220"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820"/>
              <w:gridCol w:w="1946"/>
              <w:gridCol w:w="1368"/>
              <w:gridCol w:w="1647"/>
              <w:gridCol w:w="2439"/>
            </w:tblGrid>
            <w:tr w14:paraId="5992EBF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0" w:hRule="atLeast"/>
                <w:jc w:val="center"/>
              </w:trPr>
              <w:tc>
                <w:tcPr>
                  <w:tcW w:w="820" w:type="dxa"/>
                  <w:tcBorders>
                    <w:tl2br w:val="nil"/>
                    <w:tr2bl w:val="nil"/>
                  </w:tcBorders>
                  <w:shd w:val="clear" w:color="auto" w:fill="auto"/>
                  <w:vAlign w:val="center"/>
                </w:tcPr>
                <w:p w14:paraId="44AD8EA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监测要素</w:t>
                  </w:r>
                </w:p>
              </w:tc>
              <w:tc>
                <w:tcPr>
                  <w:tcW w:w="1946" w:type="dxa"/>
                  <w:tcBorders>
                    <w:tl2br w:val="nil"/>
                    <w:tr2bl w:val="nil"/>
                  </w:tcBorders>
                  <w:shd w:val="clear" w:color="auto" w:fill="auto"/>
                  <w:vAlign w:val="center"/>
                </w:tcPr>
                <w:p w14:paraId="5D68DD1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监测点位</w:t>
                  </w:r>
                </w:p>
              </w:tc>
              <w:tc>
                <w:tcPr>
                  <w:tcW w:w="1368" w:type="dxa"/>
                  <w:tcBorders>
                    <w:tl2br w:val="nil"/>
                    <w:tr2bl w:val="nil"/>
                  </w:tcBorders>
                  <w:shd w:val="clear" w:color="auto" w:fill="auto"/>
                  <w:vAlign w:val="center"/>
                </w:tcPr>
                <w:p w14:paraId="03A6C25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监测项目</w:t>
                  </w:r>
                </w:p>
              </w:tc>
              <w:tc>
                <w:tcPr>
                  <w:tcW w:w="1647" w:type="dxa"/>
                  <w:tcBorders>
                    <w:tl2br w:val="nil"/>
                    <w:tr2bl w:val="nil"/>
                  </w:tcBorders>
                  <w:shd w:val="clear" w:color="auto" w:fill="auto"/>
                  <w:vAlign w:val="center"/>
                </w:tcPr>
                <w:p w14:paraId="25EB8B1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监测频次</w:t>
                  </w:r>
                </w:p>
              </w:tc>
              <w:tc>
                <w:tcPr>
                  <w:tcW w:w="2439" w:type="dxa"/>
                  <w:tcBorders>
                    <w:tl2br w:val="nil"/>
                    <w:tr2bl w:val="nil"/>
                  </w:tcBorders>
                  <w:shd w:val="clear" w:color="auto" w:fill="auto"/>
                  <w:vAlign w:val="center"/>
                </w:tcPr>
                <w:p w14:paraId="6EDAB83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执行标准</w:t>
                  </w:r>
                </w:p>
              </w:tc>
            </w:tr>
            <w:tr w14:paraId="136C121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820" w:type="dxa"/>
                  <w:tcBorders>
                    <w:tl2br w:val="nil"/>
                    <w:tr2bl w:val="nil"/>
                  </w:tcBorders>
                  <w:shd w:val="clear" w:color="auto" w:fill="auto"/>
                  <w:vAlign w:val="center"/>
                </w:tcPr>
                <w:p w14:paraId="76B2B94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噪声</w:t>
                  </w:r>
                </w:p>
              </w:tc>
              <w:tc>
                <w:tcPr>
                  <w:tcW w:w="1946" w:type="dxa"/>
                  <w:tcBorders>
                    <w:tl2br w:val="nil"/>
                    <w:tr2bl w:val="nil"/>
                  </w:tcBorders>
                  <w:shd w:val="clear" w:color="auto" w:fill="auto"/>
                  <w:vAlign w:val="center"/>
                </w:tcPr>
                <w:p w14:paraId="051F71D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泵站厂界（东、南、西、北各1个点）</w:t>
                  </w:r>
                </w:p>
              </w:tc>
              <w:tc>
                <w:tcPr>
                  <w:tcW w:w="1368" w:type="dxa"/>
                  <w:tcBorders>
                    <w:tl2br w:val="nil"/>
                    <w:tr2bl w:val="nil"/>
                  </w:tcBorders>
                  <w:shd w:val="clear" w:color="auto" w:fill="auto"/>
                  <w:vAlign w:val="center"/>
                </w:tcPr>
                <w:p w14:paraId="63B96BE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等效连续A声级（Leq）</w:t>
                  </w:r>
                </w:p>
              </w:tc>
              <w:tc>
                <w:tcPr>
                  <w:tcW w:w="1647" w:type="dxa"/>
                  <w:tcBorders>
                    <w:tl2br w:val="nil"/>
                    <w:tr2bl w:val="nil"/>
                  </w:tcBorders>
                  <w:shd w:val="clear" w:color="auto" w:fill="auto"/>
                  <w:vAlign w:val="center"/>
                </w:tcPr>
                <w:p w14:paraId="315DBEB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每年1次（昼间）</w:t>
                  </w:r>
                </w:p>
              </w:tc>
              <w:tc>
                <w:tcPr>
                  <w:tcW w:w="2439" w:type="dxa"/>
                  <w:tcBorders>
                    <w:tl2br w:val="nil"/>
                    <w:tr2bl w:val="nil"/>
                  </w:tcBorders>
                  <w:shd w:val="clear" w:color="auto" w:fill="auto"/>
                  <w:vAlign w:val="center"/>
                </w:tcPr>
                <w:p w14:paraId="1840122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《工业企业厂界环境噪声排放标准》（GB12348-2008）2类</w:t>
                  </w:r>
                </w:p>
              </w:tc>
            </w:tr>
            <w:tr w14:paraId="58C3671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0" w:hRule="atLeast"/>
                <w:jc w:val="center"/>
              </w:trPr>
              <w:tc>
                <w:tcPr>
                  <w:tcW w:w="820" w:type="dxa"/>
                  <w:tcBorders>
                    <w:tl2br w:val="nil"/>
                    <w:tr2bl w:val="nil"/>
                  </w:tcBorders>
                  <w:shd w:val="clear" w:color="auto" w:fill="auto"/>
                  <w:vAlign w:val="center"/>
                </w:tcPr>
                <w:p w14:paraId="13F9335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噪声</w:t>
                  </w:r>
                </w:p>
              </w:tc>
              <w:tc>
                <w:tcPr>
                  <w:tcW w:w="1946" w:type="dxa"/>
                  <w:tcBorders>
                    <w:tl2br w:val="nil"/>
                    <w:tr2bl w:val="nil"/>
                  </w:tcBorders>
                  <w:shd w:val="clear" w:color="auto" w:fill="auto"/>
                  <w:vAlign w:val="center"/>
                </w:tcPr>
                <w:p w14:paraId="0CB2050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最近敏感点（乌江村距离泵站190m处居民点）</w:t>
                  </w:r>
                </w:p>
              </w:tc>
              <w:tc>
                <w:tcPr>
                  <w:tcW w:w="1368" w:type="dxa"/>
                  <w:tcBorders>
                    <w:tl2br w:val="nil"/>
                    <w:tr2bl w:val="nil"/>
                  </w:tcBorders>
                  <w:shd w:val="clear" w:color="auto" w:fill="auto"/>
                  <w:vAlign w:val="center"/>
                </w:tcPr>
                <w:p w14:paraId="417A75C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等效连续A声级（Leq）</w:t>
                  </w:r>
                </w:p>
              </w:tc>
              <w:tc>
                <w:tcPr>
                  <w:tcW w:w="1647" w:type="dxa"/>
                  <w:tcBorders>
                    <w:tl2br w:val="nil"/>
                    <w:tr2bl w:val="nil"/>
                  </w:tcBorders>
                  <w:shd w:val="clear" w:color="auto" w:fill="auto"/>
                  <w:vAlign w:val="center"/>
                </w:tcPr>
                <w:p w14:paraId="2C7B1DB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每年1次（昼间）</w:t>
                  </w:r>
                </w:p>
              </w:tc>
              <w:tc>
                <w:tcPr>
                  <w:tcW w:w="2439" w:type="dxa"/>
                  <w:tcBorders>
                    <w:tl2br w:val="nil"/>
                    <w:tr2bl w:val="nil"/>
                  </w:tcBorders>
                  <w:shd w:val="clear" w:color="auto" w:fill="auto"/>
                  <w:vAlign w:val="center"/>
                </w:tcPr>
                <w:p w14:paraId="23DD89B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《声环境质量标准》（GB3096-2008）</w:t>
                  </w:r>
                </w:p>
              </w:tc>
            </w:tr>
          </w:tbl>
          <w:p w14:paraId="7DBB42AD">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若监测结果超标，应分析原因并采取整改措施（如增加隔声设施、调整运行时间等），确保达标。</w:t>
            </w:r>
          </w:p>
          <w:p w14:paraId="2889E9FC">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监测任务可委托有资质的环境监测单位承担，监测报告存档备查。</w:t>
            </w:r>
          </w:p>
          <w:p w14:paraId="6C0B32AE">
            <w:pPr>
              <w:widowControl/>
              <w:snapToGrid w:val="0"/>
              <w:spacing w:line="360" w:lineRule="auto"/>
              <w:ind w:firstLine="482" w:firstLineChars="200"/>
              <w:rPr>
                <w:rFonts w:hint="default"/>
                <w:b/>
                <w:bCs/>
                <w:color w:val="auto"/>
                <w:sz w:val="24"/>
                <w:lang w:val="en-US" w:eastAsia="zh-CN"/>
              </w:rPr>
            </w:pPr>
            <w:r>
              <w:rPr>
                <w:rFonts w:hint="default"/>
                <w:b/>
                <w:bCs/>
                <w:color w:val="auto"/>
                <w:sz w:val="24"/>
                <w:lang w:val="en-US" w:eastAsia="zh-CN"/>
              </w:rPr>
              <w:t>6、生态环境正面效益巩固措施</w:t>
            </w:r>
          </w:p>
          <w:p w14:paraId="4585E4F1">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本项目属于城市基础设施和民生工程，运营期生态环境正面效益显著。为巩固和扩大效益，建议采取以下措施：</w:t>
            </w:r>
          </w:p>
          <w:p w14:paraId="72837058">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①内涝防治效益巩固：建立城市内涝监测预警系统，结合气象预报提前预降河道水位、腾空调蓄设施；汛期加强排水设施巡查，确保排水畅通。</w:t>
            </w:r>
          </w:p>
          <w:p w14:paraId="749F2B8D">
            <w:pPr>
              <w:widowControl/>
              <w:snapToGrid w:val="0"/>
              <w:spacing w:line="360" w:lineRule="auto"/>
              <w:ind w:firstLine="480" w:firstLineChars="200"/>
              <w:rPr>
                <w:rFonts w:hint="default"/>
                <w:color w:val="auto"/>
                <w:sz w:val="24"/>
                <w:lang w:val="en-US" w:eastAsia="zh-CN"/>
              </w:rPr>
            </w:pPr>
            <w:r>
              <w:rPr>
                <w:rFonts w:hint="default"/>
                <w:color w:val="auto"/>
                <w:sz w:val="24"/>
                <w:lang w:val="en-US" w:eastAsia="zh-CN"/>
              </w:rPr>
              <w:t>②供水安全保障巩固：定期对供水水质进行检测（按《生活饮用水卫生标准》GB5749-2022要求），确保供水水质安全；建立用户投诉响应机制，及时处理水质、水压问题。</w:t>
            </w:r>
          </w:p>
          <w:p w14:paraId="4A050CBA">
            <w:pPr>
              <w:widowControl/>
              <w:snapToGrid w:val="0"/>
              <w:spacing w:line="360" w:lineRule="auto"/>
              <w:ind w:firstLine="480" w:firstLineChars="200"/>
              <w:rPr>
                <w:rFonts w:hint="default"/>
                <w:color w:val="FF0000"/>
                <w:sz w:val="24"/>
                <w:lang w:val="en-US" w:eastAsia="zh-CN"/>
              </w:rPr>
            </w:pPr>
            <w:r>
              <w:rPr>
                <w:rFonts w:hint="default"/>
                <w:color w:val="auto"/>
                <w:sz w:val="24"/>
                <w:lang w:val="en-US" w:eastAsia="zh-CN"/>
              </w:rPr>
              <w:t>③宣传与公众参与：向受益居民宣传节约用水、保护排水设施等环保知识，鼓励公众参与设施保护监督。</w:t>
            </w:r>
          </w:p>
        </w:tc>
      </w:tr>
      <w:tr w14:paraId="2760879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49" w:type="dxa"/>
            <w:tcMar>
              <w:left w:w="28" w:type="dxa"/>
              <w:right w:w="28" w:type="dxa"/>
            </w:tcMar>
            <w:vAlign w:val="center"/>
          </w:tcPr>
          <w:p w14:paraId="01D6A4CF">
            <w:pPr>
              <w:adjustRightInd w:val="0"/>
              <w:snapToGrid w:val="0"/>
              <w:jc w:val="center"/>
              <w:rPr>
                <w:rFonts w:hint="eastAsia" w:ascii="宋体" w:hAnsi="宋体" w:cs="宋体"/>
                <w:bCs/>
                <w:color w:val="auto"/>
                <w:sz w:val="24"/>
                <w:szCs w:val="24"/>
                <w:lang w:val="en-US" w:eastAsia="zh-CN"/>
              </w:rPr>
            </w:pPr>
            <w:r>
              <w:rPr>
                <w:rFonts w:hint="eastAsia" w:ascii="宋体" w:hAnsi="宋体" w:cs="宋体"/>
                <w:bCs/>
                <w:color w:val="auto"/>
                <w:sz w:val="24"/>
                <w:szCs w:val="24"/>
                <w:lang w:val="en-US" w:eastAsia="zh-CN"/>
              </w:rPr>
              <w:t>其他</w:t>
            </w:r>
          </w:p>
        </w:tc>
        <w:tc>
          <w:tcPr>
            <w:tcW w:w="8359" w:type="dxa"/>
            <w:vAlign w:val="center"/>
          </w:tcPr>
          <w:p w14:paraId="7877E4DB">
            <w:pPr>
              <w:widowControl/>
              <w:snapToGrid w:val="0"/>
              <w:spacing w:line="360" w:lineRule="auto"/>
              <w:ind w:firstLine="480" w:firstLineChars="200"/>
              <w:rPr>
                <w:rFonts w:hint="default"/>
                <w:color w:val="auto"/>
                <w:sz w:val="24"/>
                <w:lang w:val="en-US" w:eastAsia="zh-CN"/>
              </w:rPr>
            </w:pPr>
            <w:r>
              <w:rPr>
                <w:rFonts w:hint="eastAsia"/>
                <w:color w:val="auto"/>
                <w:sz w:val="24"/>
                <w:lang w:val="en-US" w:eastAsia="zh-CN"/>
              </w:rPr>
              <w:t>无</w:t>
            </w:r>
          </w:p>
        </w:tc>
      </w:tr>
      <w:tr w14:paraId="4A41169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49" w:type="dxa"/>
            <w:tcMar>
              <w:left w:w="28" w:type="dxa"/>
              <w:right w:w="28" w:type="dxa"/>
            </w:tcMar>
            <w:vAlign w:val="center"/>
          </w:tcPr>
          <w:p w14:paraId="0F693BEB">
            <w:pPr>
              <w:adjustRightInd w:val="0"/>
              <w:snapToGrid w:val="0"/>
              <w:jc w:val="center"/>
              <w:rPr>
                <w:rFonts w:hint="eastAsia" w:ascii="宋体" w:hAnsi="宋体" w:cs="宋体"/>
                <w:bCs/>
                <w:color w:val="auto"/>
                <w:sz w:val="24"/>
                <w:szCs w:val="24"/>
                <w:lang w:val="en-US" w:eastAsia="zh-CN"/>
              </w:rPr>
            </w:pPr>
            <w:r>
              <w:rPr>
                <w:rFonts w:hint="eastAsia" w:ascii="宋体" w:hAnsi="宋体" w:cs="宋体"/>
                <w:bCs/>
                <w:color w:val="auto"/>
                <w:sz w:val="24"/>
                <w:szCs w:val="24"/>
                <w:lang w:val="en-US" w:eastAsia="zh-CN"/>
              </w:rPr>
              <w:t>环保投资</w:t>
            </w:r>
          </w:p>
        </w:tc>
        <w:tc>
          <w:tcPr>
            <w:tcW w:w="8359" w:type="dxa"/>
            <w:vAlign w:val="center"/>
          </w:tcPr>
          <w:p w14:paraId="1AA8BAFD">
            <w:pPr>
              <w:widowControl/>
              <w:snapToGrid w:val="0"/>
              <w:spacing w:line="360" w:lineRule="auto"/>
              <w:ind w:firstLine="480" w:firstLineChars="200"/>
              <w:jc w:val="left"/>
              <w:rPr>
                <w:rFonts w:hint="default"/>
                <w:color w:val="auto"/>
                <w:sz w:val="24"/>
                <w:lang w:val="en-US" w:eastAsia="zh-CN"/>
              </w:rPr>
            </w:pPr>
            <w:r>
              <w:rPr>
                <w:rFonts w:hint="default"/>
                <w:color w:val="auto"/>
                <w:sz w:val="24"/>
                <w:lang w:val="en-US" w:eastAsia="zh-CN"/>
              </w:rPr>
              <w:t>本项目总投资</w:t>
            </w:r>
            <w:r>
              <w:rPr>
                <w:rFonts w:hint="eastAsia"/>
                <w:color w:val="auto"/>
                <w:sz w:val="24"/>
                <w:lang w:val="en-US" w:eastAsia="zh-CN"/>
              </w:rPr>
              <w:t>19600.91</w:t>
            </w:r>
            <w:r>
              <w:rPr>
                <w:rFonts w:hint="default"/>
                <w:color w:val="auto"/>
                <w:sz w:val="24"/>
                <w:lang w:val="en-US" w:eastAsia="zh-CN"/>
              </w:rPr>
              <w:t>万元，其中环保投资为</w:t>
            </w:r>
            <w:r>
              <w:rPr>
                <w:rFonts w:hint="eastAsia"/>
                <w:color w:val="auto"/>
                <w:sz w:val="24"/>
                <w:lang w:val="en-US" w:eastAsia="zh-CN"/>
              </w:rPr>
              <w:t>340</w:t>
            </w:r>
            <w:r>
              <w:rPr>
                <w:rFonts w:hint="default"/>
                <w:color w:val="auto"/>
                <w:sz w:val="24"/>
                <w:lang w:val="en-US" w:eastAsia="zh-CN"/>
              </w:rPr>
              <w:t>万元，占总投资的</w:t>
            </w:r>
            <w:r>
              <w:rPr>
                <w:rFonts w:hint="eastAsia"/>
                <w:color w:val="auto"/>
                <w:sz w:val="24"/>
                <w:lang w:val="en-US" w:eastAsia="zh-CN"/>
              </w:rPr>
              <w:t>1.7</w:t>
            </w:r>
            <w:r>
              <w:rPr>
                <w:rFonts w:hint="default"/>
                <w:color w:val="auto"/>
                <w:sz w:val="24"/>
                <w:lang w:val="en-US" w:eastAsia="zh-CN"/>
              </w:rPr>
              <w:t>%。</w:t>
            </w:r>
          </w:p>
          <w:p w14:paraId="3E26F689">
            <w:pPr>
              <w:keepNext w:val="0"/>
              <w:keepLines w:val="0"/>
              <w:pageBreakBefore w:val="0"/>
              <w:widowControl/>
              <w:kinsoku/>
              <w:wordWrap/>
              <w:overflowPunct/>
              <w:topLinePunct w:val="0"/>
              <w:autoSpaceDE/>
              <w:autoSpaceDN/>
              <w:bidi w:val="0"/>
              <w:adjustRightInd/>
              <w:snapToGrid w:val="0"/>
              <w:spacing w:line="240" w:lineRule="auto"/>
              <w:ind w:firstLine="480" w:firstLineChars="200"/>
              <w:jc w:val="center"/>
              <w:textAlignment w:val="auto"/>
              <w:rPr>
                <w:rFonts w:hint="default"/>
                <w:color w:val="auto"/>
                <w:sz w:val="24"/>
                <w:lang w:val="en-US" w:eastAsia="zh-CN"/>
              </w:rPr>
            </w:pPr>
            <w:r>
              <w:rPr>
                <w:rFonts w:hint="default"/>
                <w:color w:val="auto"/>
                <w:sz w:val="24"/>
                <w:lang w:val="en-US" w:eastAsia="zh-CN"/>
              </w:rPr>
              <w:t>表5-1 环境保护投资估算表</w:t>
            </w:r>
          </w:p>
          <w:tbl>
            <w:tblPr>
              <w:tblStyle w:val="9"/>
              <w:tblW w:w="8220"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940"/>
              <w:gridCol w:w="6180"/>
              <w:gridCol w:w="1100"/>
            </w:tblGrid>
            <w:tr w14:paraId="00417BE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40" w:hRule="atLeast"/>
                <w:jc w:val="center"/>
              </w:trPr>
              <w:tc>
                <w:tcPr>
                  <w:tcW w:w="940" w:type="dxa"/>
                  <w:tcBorders>
                    <w:tl2br w:val="nil"/>
                    <w:tr2bl w:val="nil"/>
                  </w:tcBorders>
                  <w:shd w:val="clear" w:color="auto" w:fill="auto"/>
                  <w:vAlign w:val="center"/>
                </w:tcPr>
                <w:p w14:paraId="7D15C6E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项目</w:t>
                  </w:r>
                </w:p>
              </w:tc>
              <w:tc>
                <w:tcPr>
                  <w:tcW w:w="6180" w:type="dxa"/>
                  <w:tcBorders>
                    <w:tl2br w:val="nil"/>
                    <w:tr2bl w:val="nil"/>
                  </w:tcBorders>
                  <w:shd w:val="clear" w:color="auto" w:fill="auto"/>
                  <w:vAlign w:val="center"/>
                </w:tcPr>
                <w:p w14:paraId="6145087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措施内容</w:t>
                  </w:r>
                </w:p>
              </w:tc>
              <w:tc>
                <w:tcPr>
                  <w:tcW w:w="1100" w:type="dxa"/>
                  <w:tcBorders>
                    <w:tl2br w:val="nil"/>
                    <w:tr2bl w:val="nil"/>
                  </w:tcBorders>
                  <w:shd w:val="clear" w:color="auto" w:fill="auto"/>
                  <w:vAlign w:val="center"/>
                </w:tcPr>
                <w:p w14:paraId="33B1E8E6">
                  <w:pPr>
                    <w:keepNext w:val="0"/>
                    <w:keepLines w:val="0"/>
                    <w:widowControl/>
                    <w:suppressLineNumbers w:val="0"/>
                    <w:jc w:val="center"/>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金额</w:t>
                  </w:r>
                </w:p>
                <w:p w14:paraId="496DF10D">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（万元）</w:t>
                  </w:r>
                </w:p>
              </w:tc>
            </w:tr>
            <w:tr w14:paraId="5E1E3BA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810" w:hRule="atLeast"/>
                <w:jc w:val="center"/>
              </w:trPr>
              <w:tc>
                <w:tcPr>
                  <w:tcW w:w="940" w:type="dxa"/>
                  <w:tcBorders>
                    <w:tl2br w:val="nil"/>
                    <w:tr2bl w:val="nil"/>
                  </w:tcBorders>
                  <w:shd w:val="clear" w:color="auto" w:fill="auto"/>
                  <w:vAlign w:val="center"/>
                </w:tcPr>
                <w:p w14:paraId="44A9D63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生态环境保护及恢复</w:t>
                  </w:r>
                </w:p>
              </w:tc>
              <w:tc>
                <w:tcPr>
                  <w:tcW w:w="6180" w:type="dxa"/>
                  <w:tcBorders>
                    <w:tl2br w:val="nil"/>
                    <w:tr2bl w:val="nil"/>
                  </w:tcBorders>
                  <w:shd w:val="clear" w:color="auto" w:fill="auto"/>
                  <w:vAlign w:val="center"/>
                </w:tcPr>
                <w:p w14:paraId="475F078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对施工人员加强宣传教育；严格控制施工范围，对临时施工用地进行表土剥离、土地整治、复耕及植被恢复（播撒本地草籽、补植乡土乔木）。</w:t>
                  </w:r>
                </w:p>
              </w:tc>
              <w:tc>
                <w:tcPr>
                  <w:tcW w:w="1100" w:type="dxa"/>
                  <w:tcBorders>
                    <w:tl2br w:val="nil"/>
                    <w:tr2bl w:val="nil"/>
                  </w:tcBorders>
                  <w:shd w:val="clear" w:color="auto" w:fill="auto"/>
                  <w:vAlign w:val="center"/>
                </w:tcPr>
                <w:p w14:paraId="1FA66DAC">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40</w:t>
                  </w:r>
                </w:p>
              </w:tc>
            </w:tr>
            <w:tr w14:paraId="102BB60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810" w:hRule="atLeast"/>
                <w:jc w:val="center"/>
              </w:trPr>
              <w:tc>
                <w:tcPr>
                  <w:tcW w:w="940" w:type="dxa"/>
                  <w:tcBorders>
                    <w:tl2br w:val="nil"/>
                    <w:tr2bl w:val="nil"/>
                  </w:tcBorders>
                  <w:shd w:val="clear" w:color="auto" w:fill="auto"/>
                  <w:vAlign w:val="center"/>
                </w:tcPr>
                <w:p w14:paraId="0DB0368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水土保持</w:t>
                  </w:r>
                </w:p>
              </w:tc>
              <w:tc>
                <w:tcPr>
                  <w:tcW w:w="6180" w:type="dxa"/>
                  <w:tcBorders>
                    <w:tl2br w:val="nil"/>
                    <w:tr2bl w:val="nil"/>
                  </w:tcBorders>
                  <w:shd w:val="clear" w:color="auto" w:fill="auto"/>
                  <w:vAlign w:val="center"/>
                </w:tcPr>
                <w:p w14:paraId="36E69D6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工程措施（表土剥离、截排水沟、沉沙凼）、植物措施（植被恢复）及临时措施（密目网覆盖、编织袋挡土墙、临时排水沟），并开展水土保持监测。</w:t>
                  </w:r>
                </w:p>
              </w:tc>
              <w:tc>
                <w:tcPr>
                  <w:tcW w:w="1100" w:type="dxa"/>
                  <w:tcBorders>
                    <w:tl2br w:val="nil"/>
                    <w:tr2bl w:val="nil"/>
                  </w:tcBorders>
                  <w:shd w:val="clear" w:color="auto" w:fill="auto"/>
                  <w:vAlign w:val="center"/>
                </w:tcPr>
                <w:p w14:paraId="62DE764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170</w:t>
                  </w:r>
                </w:p>
              </w:tc>
            </w:tr>
            <w:tr w14:paraId="1CDCFEC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080" w:hRule="atLeast"/>
                <w:jc w:val="center"/>
              </w:trPr>
              <w:tc>
                <w:tcPr>
                  <w:tcW w:w="940" w:type="dxa"/>
                  <w:tcBorders>
                    <w:tl2br w:val="nil"/>
                    <w:tr2bl w:val="nil"/>
                  </w:tcBorders>
                  <w:shd w:val="clear" w:color="auto" w:fill="auto"/>
                  <w:vAlign w:val="center"/>
                </w:tcPr>
                <w:p w14:paraId="65E36D9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大气污染防治</w:t>
                  </w:r>
                </w:p>
              </w:tc>
              <w:tc>
                <w:tcPr>
                  <w:tcW w:w="6180" w:type="dxa"/>
                  <w:tcBorders>
                    <w:tl2br w:val="nil"/>
                    <w:tr2bl w:val="nil"/>
                  </w:tcBorders>
                  <w:shd w:val="clear" w:color="auto" w:fill="auto"/>
                  <w:vAlign w:val="center"/>
                </w:tcPr>
                <w:p w14:paraId="595B6D41">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施工区域设置连续围挡及喷雾降尘装置；施工道路及作业区洒水降尘；易产生扬尘的堆放材料采用防尘网全覆盖；土方开挖湿法作业；施工出入口设置车辆冲洗平台；运输车辆密闭；清淤作业分段实施并喷洒除臭剂。</w:t>
                  </w:r>
                </w:p>
              </w:tc>
              <w:tc>
                <w:tcPr>
                  <w:tcW w:w="1100" w:type="dxa"/>
                  <w:tcBorders>
                    <w:tl2br w:val="nil"/>
                    <w:tr2bl w:val="nil"/>
                  </w:tcBorders>
                  <w:shd w:val="clear" w:color="auto" w:fill="auto"/>
                  <w:vAlign w:val="center"/>
                </w:tcPr>
                <w:p w14:paraId="03B3431E">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80</w:t>
                  </w:r>
                </w:p>
              </w:tc>
            </w:tr>
            <w:tr w14:paraId="4B47F95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080" w:hRule="atLeast"/>
                <w:jc w:val="center"/>
              </w:trPr>
              <w:tc>
                <w:tcPr>
                  <w:tcW w:w="940" w:type="dxa"/>
                  <w:tcBorders>
                    <w:tl2br w:val="nil"/>
                    <w:tr2bl w:val="nil"/>
                  </w:tcBorders>
                  <w:shd w:val="clear" w:color="auto" w:fill="auto"/>
                  <w:vAlign w:val="center"/>
                </w:tcPr>
                <w:p w14:paraId="15217AB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废水治理</w:t>
                  </w:r>
                </w:p>
              </w:tc>
              <w:tc>
                <w:tcPr>
                  <w:tcW w:w="6180" w:type="dxa"/>
                  <w:tcBorders>
                    <w:tl2br w:val="nil"/>
                    <w:tr2bl w:val="nil"/>
                  </w:tcBorders>
                  <w:shd w:val="clear" w:color="auto" w:fill="auto"/>
                  <w:vAlign w:val="center"/>
                </w:tcPr>
                <w:p w14:paraId="26DB065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施工期： 车辆冲洗废水经隔油池+沉淀池处理后回用；顶管泥浆经泥水分离系统处理后尾水循环利用；基坑降水及管道试压废水经沉淀后排入市政雨水管网；生活污水依托现有化粪池处理。</w:t>
                  </w:r>
                </w:p>
              </w:tc>
              <w:tc>
                <w:tcPr>
                  <w:tcW w:w="1100" w:type="dxa"/>
                  <w:tcBorders>
                    <w:tl2br w:val="nil"/>
                    <w:tr2bl w:val="nil"/>
                  </w:tcBorders>
                  <w:shd w:val="clear" w:color="auto" w:fill="auto"/>
                  <w:vAlign w:val="center"/>
                </w:tcPr>
                <w:p w14:paraId="79F9C69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5</w:t>
                  </w:r>
                </w:p>
              </w:tc>
            </w:tr>
            <w:tr w14:paraId="064266A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350" w:hRule="atLeast"/>
                <w:jc w:val="center"/>
              </w:trPr>
              <w:tc>
                <w:tcPr>
                  <w:tcW w:w="940" w:type="dxa"/>
                  <w:tcBorders>
                    <w:tl2br w:val="nil"/>
                    <w:tr2bl w:val="nil"/>
                  </w:tcBorders>
                  <w:shd w:val="clear" w:color="auto" w:fill="auto"/>
                  <w:vAlign w:val="center"/>
                </w:tcPr>
                <w:p w14:paraId="2FBC32C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噪声防治</w:t>
                  </w:r>
                </w:p>
              </w:tc>
              <w:tc>
                <w:tcPr>
                  <w:tcW w:w="6180" w:type="dxa"/>
                  <w:tcBorders>
                    <w:tl2br w:val="nil"/>
                    <w:tr2bl w:val="nil"/>
                  </w:tcBorders>
                  <w:shd w:val="clear" w:color="auto" w:fill="auto"/>
                  <w:vAlign w:val="center"/>
                </w:tcPr>
                <w:p w14:paraId="4D67F8C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施工期： 选用低噪声设备、合理布局施工场地、合理安排施工时段（禁止夜间及午间高噪声作业）、临近敏感点设置临时声屏障。运营期： 加压泵站采用砖混隔声结构，选用低噪声水泵，对水泵进行基础减振，水泵进出口采用柔性接头，采用隔声门窗。</w:t>
                  </w:r>
                </w:p>
              </w:tc>
              <w:tc>
                <w:tcPr>
                  <w:tcW w:w="1100" w:type="dxa"/>
                  <w:tcBorders>
                    <w:tl2br w:val="nil"/>
                    <w:tr2bl w:val="nil"/>
                  </w:tcBorders>
                  <w:shd w:val="clear" w:color="auto" w:fill="auto"/>
                  <w:vAlign w:val="center"/>
                </w:tcPr>
                <w:p w14:paraId="58A9C95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25</w:t>
                  </w:r>
                </w:p>
              </w:tc>
            </w:tr>
            <w:tr w14:paraId="593F6B9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620" w:hRule="atLeast"/>
                <w:jc w:val="center"/>
              </w:trPr>
              <w:tc>
                <w:tcPr>
                  <w:tcW w:w="940" w:type="dxa"/>
                  <w:tcBorders>
                    <w:tl2br w:val="nil"/>
                    <w:tr2bl w:val="nil"/>
                  </w:tcBorders>
                  <w:shd w:val="clear" w:color="auto" w:fill="auto"/>
                  <w:vAlign w:val="center"/>
                </w:tcPr>
                <w:p w14:paraId="768C49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固体废物</w:t>
                  </w:r>
                </w:p>
              </w:tc>
              <w:tc>
                <w:tcPr>
                  <w:tcW w:w="6180" w:type="dxa"/>
                  <w:tcBorders>
                    <w:tl2br w:val="nil"/>
                    <w:tr2bl w:val="nil"/>
                  </w:tcBorders>
                  <w:shd w:val="clear" w:color="auto" w:fill="auto"/>
                  <w:vAlign w:val="center"/>
                </w:tcPr>
                <w:p w14:paraId="5C36880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施工期： 工程弃渣优先利用，多余部分运至指定消纳场；顶管废弃泥浆固化后外运；清淤淤泥交市政部门统一处理；建筑垃圾可回收部分回收，其余运至消纳场；生活垃圾由环卫部门清运。运营期： 栅渣定期清理交环卫部门处置；设备维护产生的危险废物由维护单位带走并交有资质单位处置。</w:t>
                  </w:r>
                </w:p>
              </w:tc>
              <w:tc>
                <w:tcPr>
                  <w:tcW w:w="1100" w:type="dxa"/>
                  <w:tcBorders>
                    <w:tl2br w:val="nil"/>
                    <w:tr2bl w:val="nil"/>
                  </w:tcBorders>
                  <w:shd w:val="clear" w:color="auto" w:fill="auto"/>
                  <w:vAlign w:val="center"/>
                </w:tcPr>
                <w:p w14:paraId="71D2A4A7">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r>
            <w:tr w14:paraId="50FCB29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810" w:hRule="atLeast"/>
                <w:jc w:val="center"/>
              </w:trPr>
              <w:tc>
                <w:tcPr>
                  <w:tcW w:w="940" w:type="dxa"/>
                  <w:tcBorders>
                    <w:tl2br w:val="nil"/>
                    <w:tr2bl w:val="nil"/>
                  </w:tcBorders>
                  <w:shd w:val="clear" w:color="auto" w:fill="auto"/>
                  <w:vAlign w:val="center"/>
                </w:tcPr>
                <w:p w14:paraId="710E0970">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环境管理和监测</w:t>
                  </w:r>
                </w:p>
              </w:tc>
              <w:tc>
                <w:tcPr>
                  <w:tcW w:w="6180" w:type="dxa"/>
                  <w:tcBorders>
                    <w:tl2br w:val="nil"/>
                    <w:tr2bl w:val="nil"/>
                  </w:tcBorders>
                  <w:shd w:val="clear" w:color="auto" w:fill="auto"/>
                  <w:vAlign w:val="center"/>
                </w:tcPr>
                <w:p w14:paraId="6C739D58">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施工期实施环境监理；开展施工期大气、噪声、地表水环境监测（TSP、Leq、pH、SS、COD、石油类）；加强施工期和运营期环境管理，建立环保台账。</w:t>
                  </w:r>
                </w:p>
              </w:tc>
              <w:tc>
                <w:tcPr>
                  <w:tcW w:w="1100" w:type="dxa"/>
                  <w:tcBorders>
                    <w:tl2br w:val="nil"/>
                    <w:tr2bl w:val="nil"/>
                  </w:tcBorders>
                  <w:shd w:val="clear" w:color="auto" w:fill="auto"/>
                  <w:vAlign w:val="center"/>
                </w:tcPr>
                <w:p w14:paraId="6004B7F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10</w:t>
                  </w:r>
                </w:p>
              </w:tc>
            </w:tr>
            <w:tr w14:paraId="4CE04C4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70" w:hRule="atLeast"/>
                <w:jc w:val="center"/>
              </w:trPr>
              <w:tc>
                <w:tcPr>
                  <w:tcW w:w="940" w:type="dxa"/>
                  <w:tcBorders>
                    <w:tl2br w:val="nil"/>
                    <w:tr2bl w:val="nil"/>
                  </w:tcBorders>
                  <w:shd w:val="clear" w:color="auto" w:fill="auto"/>
                  <w:vAlign w:val="center"/>
                </w:tcPr>
                <w:p w14:paraId="064B71D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合计</w:t>
                  </w:r>
                </w:p>
              </w:tc>
              <w:tc>
                <w:tcPr>
                  <w:tcW w:w="6180" w:type="dxa"/>
                  <w:tcBorders>
                    <w:tl2br w:val="nil"/>
                    <w:tr2bl w:val="nil"/>
                  </w:tcBorders>
                  <w:shd w:val="clear" w:color="auto" w:fill="auto"/>
                  <w:vAlign w:val="center"/>
                </w:tcPr>
                <w:p w14:paraId="38D9AB34">
                  <w:pPr>
                    <w:jc w:val="center"/>
                    <w:rPr>
                      <w:rFonts w:hint="eastAsia" w:ascii="宋体" w:hAnsi="宋体" w:eastAsia="宋体" w:cs="宋体"/>
                      <w:i w:val="0"/>
                      <w:iCs w:val="0"/>
                      <w:color w:val="auto"/>
                      <w:sz w:val="22"/>
                      <w:szCs w:val="22"/>
                      <w:u w:val="none"/>
                    </w:rPr>
                  </w:pPr>
                </w:p>
              </w:tc>
              <w:tc>
                <w:tcPr>
                  <w:tcW w:w="1100" w:type="dxa"/>
                  <w:tcBorders>
                    <w:tl2br w:val="nil"/>
                    <w:tr2bl w:val="nil"/>
                  </w:tcBorders>
                  <w:shd w:val="clear" w:color="auto" w:fill="auto"/>
                  <w:vAlign w:val="center"/>
                </w:tcPr>
                <w:p w14:paraId="3B4FDA7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340</w:t>
                  </w:r>
                </w:p>
              </w:tc>
            </w:tr>
          </w:tbl>
          <w:p w14:paraId="4E0976FF">
            <w:pPr>
              <w:widowControl/>
              <w:snapToGrid w:val="0"/>
              <w:spacing w:line="360" w:lineRule="auto"/>
              <w:ind w:firstLine="480" w:firstLineChars="200"/>
              <w:rPr>
                <w:rFonts w:hint="default"/>
                <w:color w:val="auto"/>
                <w:sz w:val="24"/>
                <w:lang w:val="en-US" w:eastAsia="zh-CN"/>
              </w:rPr>
            </w:pPr>
          </w:p>
          <w:p w14:paraId="53E1C146">
            <w:pPr>
              <w:widowControl/>
              <w:snapToGrid w:val="0"/>
              <w:spacing w:line="360" w:lineRule="auto"/>
              <w:ind w:firstLine="480" w:firstLineChars="200"/>
              <w:rPr>
                <w:rFonts w:hint="default"/>
                <w:color w:val="auto"/>
                <w:sz w:val="24"/>
                <w:lang w:val="en-US" w:eastAsia="zh-CN"/>
              </w:rPr>
            </w:pPr>
          </w:p>
          <w:p w14:paraId="039F6B2E">
            <w:pPr>
              <w:widowControl/>
              <w:snapToGrid w:val="0"/>
              <w:spacing w:line="360" w:lineRule="auto"/>
              <w:ind w:firstLine="480" w:firstLineChars="200"/>
              <w:rPr>
                <w:rFonts w:hint="default"/>
                <w:color w:val="auto"/>
                <w:sz w:val="24"/>
                <w:lang w:val="en-US" w:eastAsia="zh-CN"/>
              </w:rPr>
            </w:pPr>
          </w:p>
          <w:p w14:paraId="790B4148">
            <w:pPr>
              <w:widowControl/>
              <w:snapToGrid w:val="0"/>
              <w:spacing w:line="360" w:lineRule="auto"/>
              <w:ind w:firstLine="480" w:firstLineChars="200"/>
              <w:rPr>
                <w:rFonts w:hint="default"/>
                <w:color w:val="auto"/>
                <w:sz w:val="24"/>
                <w:lang w:val="en-US" w:eastAsia="zh-CN"/>
              </w:rPr>
            </w:pPr>
          </w:p>
          <w:p w14:paraId="16438A43">
            <w:pPr>
              <w:widowControl/>
              <w:snapToGrid w:val="0"/>
              <w:spacing w:line="360" w:lineRule="auto"/>
              <w:ind w:firstLine="480" w:firstLineChars="200"/>
              <w:rPr>
                <w:rFonts w:hint="default"/>
                <w:color w:val="auto"/>
                <w:sz w:val="24"/>
                <w:lang w:val="en-US" w:eastAsia="zh-CN"/>
              </w:rPr>
            </w:pPr>
          </w:p>
          <w:p w14:paraId="4D888D4B">
            <w:pPr>
              <w:widowControl/>
              <w:snapToGrid w:val="0"/>
              <w:spacing w:line="360" w:lineRule="auto"/>
              <w:ind w:firstLine="480" w:firstLineChars="200"/>
              <w:rPr>
                <w:rFonts w:hint="default"/>
                <w:color w:val="auto"/>
                <w:sz w:val="24"/>
                <w:lang w:val="en-US" w:eastAsia="zh-CN"/>
              </w:rPr>
            </w:pPr>
          </w:p>
          <w:p w14:paraId="554F27BD">
            <w:pPr>
              <w:widowControl/>
              <w:snapToGrid w:val="0"/>
              <w:spacing w:line="360" w:lineRule="auto"/>
              <w:ind w:firstLine="480" w:firstLineChars="200"/>
              <w:rPr>
                <w:rFonts w:hint="default"/>
                <w:color w:val="auto"/>
                <w:sz w:val="24"/>
                <w:lang w:val="en-US" w:eastAsia="zh-CN"/>
              </w:rPr>
            </w:pPr>
          </w:p>
          <w:p w14:paraId="6429D577">
            <w:pPr>
              <w:widowControl/>
              <w:snapToGrid w:val="0"/>
              <w:spacing w:line="360" w:lineRule="auto"/>
              <w:ind w:firstLine="480" w:firstLineChars="200"/>
              <w:rPr>
                <w:rFonts w:hint="default"/>
                <w:color w:val="auto"/>
                <w:sz w:val="24"/>
                <w:lang w:val="en-US" w:eastAsia="zh-CN"/>
              </w:rPr>
            </w:pPr>
          </w:p>
          <w:p w14:paraId="71CEE139">
            <w:pPr>
              <w:widowControl/>
              <w:snapToGrid w:val="0"/>
              <w:spacing w:line="360" w:lineRule="auto"/>
              <w:ind w:firstLine="480" w:firstLineChars="200"/>
              <w:rPr>
                <w:rFonts w:hint="default"/>
                <w:color w:val="auto"/>
                <w:sz w:val="24"/>
                <w:lang w:val="en-US" w:eastAsia="zh-CN"/>
              </w:rPr>
            </w:pPr>
          </w:p>
          <w:p w14:paraId="5F5679EE">
            <w:pPr>
              <w:widowControl/>
              <w:snapToGrid w:val="0"/>
              <w:spacing w:line="360" w:lineRule="auto"/>
              <w:ind w:firstLine="480" w:firstLineChars="200"/>
              <w:rPr>
                <w:rFonts w:hint="default"/>
                <w:color w:val="auto"/>
                <w:sz w:val="24"/>
                <w:lang w:val="en-US" w:eastAsia="zh-CN"/>
              </w:rPr>
            </w:pPr>
          </w:p>
          <w:p w14:paraId="408DB1D7">
            <w:pPr>
              <w:widowControl/>
              <w:snapToGrid w:val="0"/>
              <w:spacing w:line="360" w:lineRule="auto"/>
              <w:ind w:firstLine="480" w:firstLineChars="200"/>
              <w:rPr>
                <w:rFonts w:hint="default"/>
                <w:color w:val="auto"/>
                <w:sz w:val="24"/>
                <w:lang w:val="en-US" w:eastAsia="zh-CN"/>
              </w:rPr>
            </w:pPr>
          </w:p>
          <w:p w14:paraId="30A2E1EE">
            <w:pPr>
              <w:widowControl/>
              <w:snapToGrid w:val="0"/>
              <w:spacing w:line="360" w:lineRule="auto"/>
              <w:ind w:firstLine="480" w:firstLineChars="200"/>
              <w:rPr>
                <w:rFonts w:hint="default"/>
                <w:color w:val="auto"/>
                <w:sz w:val="24"/>
                <w:lang w:val="en-US" w:eastAsia="zh-CN"/>
              </w:rPr>
            </w:pPr>
          </w:p>
          <w:p w14:paraId="3B492F37">
            <w:pPr>
              <w:widowControl/>
              <w:snapToGrid w:val="0"/>
              <w:spacing w:line="360" w:lineRule="auto"/>
              <w:ind w:firstLine="480" w:firstLineChars="200"/>
              <w:rPr>
                <w:rFonts w:hint="default"/>
                <w:color w:val="auto"/>
                <w:sz w:val="24"/>
                <w:lang w:val="en-US" w:eastAsia="zh-CN"/>
              </w:rPr>
            </w:pPr>
          </w:p>
          <w:p w14:paraId="7A99897E">
            <w:pPr>
              <w:widowControl/>
              <w:snapToGrid w:val="0"/>
              <w:spacing w:line="360" w:lineRule="auto"/>
              <w:ind w:firstLine="480" w:firstLineChars="200"/>
              <w:rPr>
                <w:rFonts w:hint="default"/>
                <w:color w:val="auto"/>
                <w:sz w:val="24"/>
                <w:lang w:val="en-US" w:eastAsia="zh-CN"/>
              </w:rPr>
            </w:pPr>
          </w:p>
          <w:p w14:paraId="3CA9EA1A">
            <w:pPr>
              <w:widowControl/>
              <w:snapToGrid w:val="0"/>
              <w:spacing w:line="360" w:lineRule="auto"/>
              <w:ind w:firstLine="480" w:firstLineChars="200"/>
              <w:rPr>
                <w:rFonts w:hint="default"/>
                <w:color w:val="auto"/>
                <w:sz w:val="24"/>
                <w:lang w:val="en-US" w:eastAsia="zh-CN"/>
              </w:rPr>
            </w:pPr>
          </w:p>
          <w:p w14:paraId="18B29634">
            <w:pPr>
              <w:widowControl/>
              <w:snapToGrid w:val="0"/>
              <w:spacing w:line="360" w:lineRule="auto"/>
              <w:ind w:firstLine="480" w:firstLineChars="200"/>
              <w:rPr>
                <w:rFonts w:hint="default"/>
                <w:color w:val="auto"/>
                <w:sz w:val="24"/>
                <w:lang w:val="en-US" w:eastAsia="zh-CN"/>
              </w:rPr>
            </w:pPr>
          </w:p>
          <w:p w14:paraId="3627C9E2">
            <w:pPr>
              <w:widowControl/>
              <w:snapToGrid w:val="0"/>
              <w:spacing w:line="360" w:lineRule="auto"/>
              <w:ind w:firstLine="480" w:firstLineChars="200"/>
              <w:rPr>
                <w:rFonts w:hint="default"/>
                <w:color w:val="auto"/>
                <w:sz w:val="24"/>
                <w:lang w:val="en-US" w:eastAsia="zh-CN"/>
              </w:rPr>
            </w:pPr>
          </w:p>
          <w:p w14:paraId="1CB8BF6E">
            <w:pPr>
              <w:widowControl/>
              <w:snapToGrid w:val="0"/>
              <w:spacing w:line="360" w:lineRule="auto"/>
              <w:ind w:firstLine="480" w:firstLineChars="200"/>
              <w:rPr>
                <w:rFonts w:hint="default"/>
                <w:color w:val="auto"/>
                <w:sz w:val="24"/>
                <w:lang w:val="en-US" w:eastAsia="zh-CN"/>
              </w:rPr>
            </w:pPr>
          </w:p>
        </w:tc>
      </w:tr>
    </w:tbl>
    <w:p w14:paraId="53EBBFB8">
      <w:pPr>
        <w:bidi w:val="0"/>
        <w:rPr>
          <w:rFonts w:hint="default"/>
          <w:color w:val="FF0000"/>
          <w:lang w:val="en-US" w:eastAsia="zh-CN"/>
        </w:rPr>
      </w:pPr>
    </w:p>
    <w:p w14:paraId="3F37A1C8">
      <w:pPr>
        <w:keepNext w:val="0"/>
        <w:keepLines w:val="0"/>
        <w:pageBreakBefore w:val="0"/>
        <w:widowControl/>
        <w:numPr>
          <w:ilvl w:val="0"/>
          <w:numId w:val="1"/>
        </w:numPr>
        <w:kinsoku/>
        <w:wordWrap/>
        <w:overflowPunct/>
        <w:topLinePunct w:val="0"/>
        <w:autoSpaceDE/>
        <w:autoSpaceDN/>
        <w:bidi w:val="0"/>
        <w:adjustRightInd/>
        <w:snapToGrid/>
        <w:spacing w:before="0" w:beforeAutospacing="0" w:after="0" w:afterAutospacing="0"/>
        <w:ind w:left="0" w:leftChars="0" w:firstLine="0" w:firstLineChars="0"/>
        <w:jc w:val="center"/>
        <w:textAlignment w:val="auto"/>
        <w:outlineLvl w:val="0"/>
        <w:rPr>
          <w:rFonts w:hint="eastAsia" w:ascii="黑体" w:hAnsi="黑体" w:eastAsia="黑体"/>
          <w:snapToGrid w:val="0"/>
          <w:color w:val="auto"/>
          <w:sz w:val="30"/>
          <w:szCs w:val="30"/>
        </w:rPr>
      </w:pPr>
      <w:r>
        <w:rPr>
          <w:snapToGrid w:val="0"/>
          <w:color w:val="FF0000"/>
        </w:rPr>
        <w:br w:type="page"/>
      </w:r>
      <w:r>
        <w:rPr>
          <w:rFonts w:hint="eastAsia" w:ascii="黑体" w:hAnsi="黑体" w:eastAsia="黑体"/>
          <w:snapToGrid w:val="0"/>
          <w:color w:val="auto"/>
          <w:sz w:val="30"/>
          <w:szCs w:val="30"/>
          <w:lang w:eastAsia="zh-CN"/>
        </w:rPr>
        <w:t>生态环境保护措施监督检查清单</w:t>
      </w:r>
    </w:p>
    <w:tbl>
      <w:tblPr>
        <w:tblStyle w:val="9"/>
        <w:tblW w:w="8800"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24"/>
        <w:gridCol w:w="2880"/>
        <w:gridCol w:w="2070"/>
        <w:gridCol w:w="1670"/>
        <w:gridCol w:w="1356"/>
      </w:tblGrid>
      <w:tr w14:paraId="558A82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824" w:type="dxa"/>
            <w:vMerge w:val="restart"/>
            <w:tcBorders>
              <w:tl2br w:val="single" w:color="auto" w:sz="4" w:space="0"/>
            </w:tcBorders>
            <w:vAlign w:val="top"/>
          </w:tcPr>
          <w:p w14:paraId="101D7BA1">
            <w:pPr>
              <w:adjustRightInd w:val="0"/>
              <w:snapToGrid w:val="0"/>
              <w:jc w:val="right"/>
              <w:rPr>
                <w:rFonts w:hint="eastAsia" w:ascii="宋体" w:hAnsi="宋体" w:cs="宋体"/>
                <w:color w:val="auto"/>
                <w:sz w:val="22"/>
                <w:szCs w:val="22"/>
              </w:rPr>
            </w:pPr>
            <w:r>
              <w:rPr>
                <w:rFonts w:hint="eastAsia" w:ascii="宋体" w:hAnsi="宋体" w:cs="宋体"/>
                <w:color w:val="auto"/>
                <w:sz w:val="22"/>
                <w:szCs w:val="22"/>
              </w:rPr>
              <w:t>内容</w:t>
            </w:r>
          </w:p>
          <w:p w14:paraId="7D23A375">
            <w:pPr>
              <w:adjustRightInd w:val="0"/>
              <w:snapToGrid w:val="0"/>
              <w:rPr>
                <w:rFonts w:hint="eastAsia" w:ascii="宋体" w:hAnsi="宋体" w:cs="宋体"/>
                <w:color w:val="auto"/>
                <w:sz w:val="22"/>
                <w:szCs w:val="22"/>
              </w:rPr>
            </w:pPr>
          </w:p>
          <w:p w14:paraId="58EC294F">
            <w:pPr>
              <w:adjustRightInd w:val="0"/>
              <w:snapToGrid w:val="0"/>
              <w:rPr>
                <w:rFonts w:hint="eastAsia" w:ascii="宋体" w:hAnsi="宋体" w:cs="宋体"/>
                <w:color w:val="auto"/>
                <w:sz w:val="22"/>
                <w:szCs w:val="22"/>
              </w:rPr>
            </w:pPr>
            <w:r>
              <w:rPr>
                <w:rFonts w:hint="eastAsia" w:ascii="宋体" w:hAnsi="宋体" w:cs="宋体"/>
                <w:color w:val="auto"/>
                <w:sz w:val="22"/>
                <w:szCs w:val="22"/>
              </w:rPr>
              <w:t>要素</w:t>
            </w:r>
          </w:p>
        </w:tc>
        <w:tc>
          <w:tcPr>
            <w:tcW w:w="4950" w:type="dxa"/>
            <w:gridSpan w:val="2"/>
            <w:vAlign w:val="center"/>
          </w:tcPr>
          <w:p w14:paraId="5AE4846C">
            <w:pPr>
              <w:adjustRightInd w:val="0"/>
              <w:snapToGrid w:val="0"/>
              <w:jc w:val="center"/>
              <w:rPr>
                <w:rFonts w:hint="eastAsia" w:ascii="宋体" w:hAnsi="宋体" w:eastAsia="宋体" w:cs="宋体"/>
                <w:color w:val="auto"/>
                <w:sz w:val="22"/>
                <w:szCs w:val="22"/>
                <w:lang w:eastAsia="zh-CN"/>
              </w:rPr>
            </w:pPr>
            <w:r>
              <w:rPr>
                <w:rFonts w:hint="eastAsia" w:ascii="宋体" w:hAnsi="宋体" w:cs="宋体"/>
                <w:color w:val="auto"/>
                <w:sz w:val="22"/>
                <w:szCs w:val="22"/>
                <w:lang w:eastAsia="zh-CN"/>
              </w:rPr>
              <w:t>施工期</w:t>
            </w:r>
          </w:p>
        </w:tc>
        <w:tc>
          <w:tcPr>
            <w:tcW w:w="3026" w:type="dxa"/>
            <w:gridSpan w:val="2"/>
            <w:vAlign w:val="center"/>
          </w:tcPr>
          <w:p w14:paraId="4F15BA52">
            <w:pPr>
              <w:adjustRightInd w:val="0"/>
              <w:snapToGrid w:val="0"/>
              <w:jc w:val="center"/>
              <w:rPr>
                <w:rFonts w:hint="eastAsia" w:ascii="宋体" w:hAnsi="宋体" w:eastAsia="宋体" w:cs="宋体"/>
                <w:color w:val="auto"/>
                <w:sz w:val="22"/>
                <w:szCs w:val="22"/>
                <w:lang w:eastAsia="zh-CN"/>
              </w:rPr>
            </w:pPr>
            <w:r>
              <w:rPr>
                <w:rFonts w:hint="eastAsia" w:ascii="宋体" w:hAnsi="宋体" w:cs="宋体"/>
                <w:color w:val="auto"/>
                <w:sz w:val="22"/>
                <w:szCs w:val="22"/>
                <w:lang w:eastAsia="zh-CN"/>
              </w:rPr>
              <w:t>运营期</w:t>
            </w:r>
          </w:p>
        </w:tc>
      </w:tr>
      <w:tr w14:paraId="5345A82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824" w:type="dxa"/>
            <w:vMerge w:val="continue"/>
            <w:tcBorders>
              <w:tl2br w:val="single" w:color="auto" w:sz="4" w:space="0"/>
            </w:tcBorders>
            <w:vAlign w:val="top"/>
          </w:tcPr>
          <w:p w14:paraId="611E5D71">
            <w:pPr>
              <w:adjustRightInd w:val="0"/>
              <w:snapToGrid w:val="0"/>
              <w:jc w:val="center"/>
              <w:rPr>
                <w:color w:val="auto"/>
                <w:sz w:val="22"/>
                <w:szCs w:val="22"/>
              </w:rPr>
            </w:pPr>
          </w:p>
        </w:tc>
        <w:tc>
          <w:tcPr>
            <w:tcW w:w="2880" w:type="dxa"/>
            <w:vAlign w:val="center"/>
          </w:tcPr>
          <w:p w14:paraId="51B7E226">
            <w:pPr>
              <w:adjustRightInd w:val="0"/>
              <w:snapToGrid w:val="0"/>
              <w:jc w:val="center"/>
              <w:rPr>
                <w:rFonts w:hint="eastAsia" w:ascii="宋体" w:hAnsi="宋体" w:eastAsia="宋体" w:cs="宋体"/>
                <w:color w:val="auto"/>
                <w:sz w:val="22"/>
                <w:szCs w:val="22"/>
                <w:lang w:eastAsia="zh-CN"/>
              </w:rPr>
            </w:pPr>
            <w:r>
              <w:rPr>
                <w:rFonts w:hint="eastAsia" w:ascii="宋体" w:hAnsi="宋体" w:cs="宋体"/>
                <w:color w:val="auto"/>
                <w:sz w:val="22"/>
                <w:szCs w:val="22"/>
                <w:lang w:eastAsia="zh-CN"/>
              </w:rPr>
              <w:t>环境保护措施</w:t>
            </w:r>
          </w:p>
        </w:tc>
        <w:tc>
          <w:tcPr>
            <w:tcW w:w="2070" w:type="dxa"/>
            <w:vAlign w:val="center"/>
          </w:tcPr>
          <w:p w14:paraId="72D2A0B0">
            <w:pPr>
              <w:adjustRightInd w:val="0"/>
              <w:snapToGrid w:val="0"/>
              <w:jc w:val="center"/>
              <w:rPr>
                <w:rFonts w:hint="eastAsia" w:ascii="宋体" w:hAnsi="宋体" w:eastAsia="宋体" w:cs="宋体"/>
                <w:color w:val="auto"/>
                <w:sz w:val="22"/>
                <w:szCs w:val="22"/>
                <w:lang w:eastAsia="zh-CN"/>
              </w:rPr>
            </w:pPr>
            <w:r>
              <w:rPr>
                <w:rFonts w:hint="eastAsia" w:ascii="宋体" w:hAnsi="宋体" w:cs="宋体"/>
                <w:color w:val="auto"/>
                <w:sz w:val="22"/>
                <w:szCs w:val="22"/>
                <w:lang w:eastAsia="zh-CN"/>
              </w:rPr>
              <w:t>验收要求</w:t>
            </w:r>
          </w:p>
        </w:tc>
        <w:tc>
          <w:tcPr>
            <w:tcW w:w="1670" w:type="dxa"/>
            <w:vAlign w:val="center"/>
          </w:tcPr>
          <w:p w14:paraId="59009211">
            <w:pPr>
              <w:adjustRightInd w:val="0"/>
              <w:snapToGrid w:val="0"/>
              <w:jc w:val="center"/>
              <w:rPr>
                <w:rFonts w:hint="eastAsia" w:ascii="宋体" w:hAnsi="宋体" w:eastAsia="宋体" w:cs="宋体"/>
                <w:color w:val="auto"/>
                <w:kern w:val="2"/>
                <w:sz w:val="22"/>
                <w:szCs w:val="22"/>
                <w:lang w:val="en-US" w:eastAsia="zh-CN" w:bidi="ar-SA"/>
              </w:rPr>
            </w:pPr>
            <w:r>
              <w:rPr>
                <w:rFonts w:hint="eastAsia" w:ascii="宋体" w:hAnsi="宋体" w:cs="宋体"/>
                <w:color w:val="auto"/>
                <w:sz w:val="22"/>
                <w:szCs w:val="22"/>
                <w:lang w:eastAsia="zh-CN"/>
              </w:rPr>
              <w:t>环境保护措施</w:t>
            </w:r>
          </w:p>
        </w:tc>
        <w:tc>
          <w:tcPr>
            <w:tcW w:w="1356" w:type="dxa"/>
            <w:vAlign w:val="center"/>
          </w:tcPr>
          <w:p w14:paraId="1F582ADC">
            <w:pPr>
              <w:adjustRightInd w:val="0"/>
              <w:snapToGrid w:val="0"/>
              <w:jc w:val="center"/>
              <w:rPr>
                <w:rFonts w:hint="eastAsia" w:ascii="宋体" w:hAnsi="宋体" w:eastAsia="宋体" w:cs="宋体"/>
                <w:color w:val="auto"/>
                <w:kern w:val="2"/>
                <w:sz w:val="22"/>
                <w:szCs w:val="22"/>
                <w:lang w:val="en-US" w:eastAsia="zh-CN" w:bidi="ar-SA"/>
              </w:rPr>
            </w:pPr>
            <w:r>
              <w:rPr>
                <w:rFonts w:hint="eastAsia" w:ascii="宋体" w:hAnsi="宋体" w:cs="宋体"/>
                <w:color w:val="auto"/>
                <w:sz w:val="22"/>
                <w:szCs w:val="22"/>
                <w:lang w:eastAsia="zh-CN"/>
              </w:rPr>
              <w:t>验收要求</w:t>
            </w:r>
          </w:p>
        </w:tc>
      </w:tr>
      <w:tr w14:paraId="243DF40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824" w:type="dxa"/>
            <w:vAlign w:val="center"/>
          </w:tcPr>
          <w:p w14:paraId="6734595A">
            <w:pPr>
              <w:adjustRightInd w:val="0"/>
              <w:snapToGrid w:val="0"/>
              <w:jc w:val="center"/>
              <w:rPr>
                <w:rFonts w:hint="eastAsia" w:ascii="宋体" w:hAnsi="宋体" w:eastAsia="宋体" w:cs="宋体"/>
                <w:color w:val="auto"/>
                <w:sz w:val="22"/>
                <w:szCs w:val="22"/>
                <w:lang w:eastAsia="zh-CN"/>
              </w:rPr>
            </w:pPr>
            <w:r>
              <w:rPr>
                <w:rFonts w:hint="eastAsia" w:ascii="宋体" w:hAnsi="宋体" w:cs="宋体"/>
                <w:color w:val="auto"/>
                <w:sz w:val="22"/>
                <w:szCs w:val="22"/>
                <w:lang w:eastAsia="zh-CN"/>
              </w:rPr>
              <w:t>陆生生态</w:t>
            </w:r>
          </w:p>
        </w:tc>
        <w:tc>
          <w:tcPr>
            <w:tcW w:w="2880" w:type="dxa"/>
            <w:vAlign w:val="center"/>
          </w:tcPr>
          <w:p w14:paraId="69C4BCF9">
            <w:pPr>
              <w:adjustRightInd w:val="0"/>
              <w:snapToGrid w:val="0"/>
              <w:jc w:val="center"/>
              <w:rPr>
                <w:rFonts w:hint="default" w:eastAsia="宋体"/>
                <w:color w:val="auto"/>
                <w:kern w:val="2"/>
                <w:sz w:val="22"/>
                <w:szCs w:val="22"/>
                <w:lang w:val="en-US" w:eastAsia="zh-CN" w:bidi="ar-SA"/>
              </w:rPr>
            </w:pPr>
            <w:r>
              <w:rPr>
                <w:rFonts w:hint="default" w:eastAsia="宋体"/>
                <w:color w:val="auto"/>
                <w:kern w:val="2"/>
                <w:sz w:val="22"/>
                <w:szCs w:val="22"/>
                <w:lang w:val="en-US" w:eastAsia="zh-CN" w:bidi="ar-SA"/>
              </w:rPr>
              <w:t>1.严格划定施工范围，标桩划界，禁止越界施工。</w:t>
            </w:r>
          </w:p>
          <w:p w14:paraId="7F723736">
            <w:pPr>
              <w:adjustRightInd w:val="0"/>
              <w:snapToGrid w:val="0"/>
              <w:jc w:val="center"/>
              <w:rPr>
                <w:rFonts w:hint="default" w:eastAsia="宋体"/>
                <w:color w:val="auto"/>
                <w:kern w:val="2"/>
                <w:sz w:val="22"/>
                <w:szCs w:val="22"/>
                <w:lang w:val="en-US" w:eastAsia="zh-CN" w:bidi="ar-SA"/>
              </w:rPr>
            </w:pPr>
            <w:r>
              <w:rPr>
                <w:rFonts w:hint="default" w:eastAsia="宋体"/>
                <w:color w:val="auto"/>
                <w:kern w:val="2"/>
                <w:sz w:val="22"/>
                <w:szCs w:val="22"/>
                <w:lang w:val="en-US" w:eastAsia="zh-CN" w:bidi="ar-SA"/>
              </w:rPr>
              <w:t>2.对临时占用耕地进行表土剥离（30cm），单独堆存并防护。</w:t>
            </w:r>
          </w:p>
          <w:p w14:paraId="0F97EF3C">
            <w:pPr>
              <w:adjustRightInd w:val="0"/>
              <w:snapToGrid w:val="0"/>
              <w:jc w:val="center"/>
              <w:rPr>
                <w:rFonts w:hint="default" w:eastAsia="宋体"/>
                <w:color w:val="auto"/>
                <w:kern w:val="2"/>
                <w:sz w:val="22"/>
                <w:szCs w:val="22"/>
                <w:lang w:val="en-US" w:eastAsia="zh-CN" w:bidi="ar-SA"/>
              </w:rPr>
            </w:pPr>
            <w:r>
              <w:rPr>
                <w:rFonts w:hint="default" w:eastAsia="宋体"/>
                <w:color w:val="auto"/>
                <w:kern w:val="2"/>
                <w:sz w:val="22"/>
                <w:szCs w:val="22"/>
                <w:lang w:val="en-US" w:eastAsia="zh-CN" w:bidi="ar-SA"/>
              </w:rPr>
              <w:t>3.施工结束后，对临时占地进行全面土地整治，回填表土，根据原地类进行复垦或绿化（播撒本地草种、补植乡土乔木）。</w:t>
            </w:r>
          </w:p>
          <w:p w14:paraId="653BBE2B">
            <w:pPr>
              <w:adjustRightInd w:val="0"/>
              <w:snapToGrid w:val="0"/>
              <w:jc w:val="center"/>
              <w:rPr>
                <w:rFonts w:hint="default" w:eastAsia="宋体"/>
                <w:color w:val="auto"/>
                <w:kern w:val="2"/>
                <w:sz w:val="22"/>
                <w:szCs w:val="22"/>
                <w:lang w:val="en-US" w:eastAsia="zh-CN" w:bidi="ar-SA"/>
              </w:rPr>
            </w:pPr>
            <w:r>
              <w:rPr>
                <w:rFonts w:hint="default" w:eastAsia="宋体"/>
                <w:color w:val="auto"/>
                <w:kern w:val="2"/>
                <w:sz w:val="22"/>
                <w:szCs w:val="22"/>
                <w:lang w:val="en-US" w:eastAsia="zh-CN" w:bidi="ar-SA"/>
              </w:rPr>
              <w:t>4.采取临时苫盖、截排水沟、沉沙凼等水土保持措施。</w:t>
            </w:r>
          </w:p>
        </w:tc>
        <w:tc>
          <w:tcPr>
            <w:tcW w:w="2070" w:type="dxa"/>
            <w:vAlign w:val="center"/>
          </w:tcPr>
          <w:p w14:paraId="61EA1202">
            <w:pPr>
              <w:adjustRightInd w:val="0"/>
              <w:snapToGrid w:val="0"/>
              <w:jc w:val="center"/>
              <w:rPr>
                <w:rFonts w:hint="eastAsia" w:ascii="Times New Roman" w:hAnsi="Times New Roman" w:eastAsia="宋体" w:cs="Times New Roman"/>
                <w:color w:val="auto"/>
                <w:sz w:val="22"/>
                <w:szCs w:val="22"/>
                <w:lang w:val="en-US" w:eastAsia="zh-CN"/>
              </w:rPr>
            </w:pPr>
            <w:r>
              <w:rPr>
                <w:rFonts w:hint="eastAsia" w:ascii="Times New Roman" w:hAnsi="Times New Roman" w:eastAsia="宋体" w:cs="Times New Roman"/>
                <w:color w:val="auto"/>
                <w:sz w:val="22"/>
                <w:szCs w:val="22"/>
                <w:lang w:val="en-US" w:eastAsia="zh-CN"/>
              </w:rPr>
              <w:t>施工期的表土剥离、临时防护、植被恢复、水土保持等措施均得到落实，临时占地恢复原有功能，未对陆生生态产生明显影响。</w:t>
            </w:r>
          </w:p>
        </w:tc>
        <w:tc>
          <w:tcPr>
            <w:tcW w:w="1670" w:type="dxa"/>
            <w:vAlign w:val="center"/>
          </w:tcPr>
          <w:p w14:paraId="7CF592B6">
            <w:pPr>
              <w:adjustRightInd w:val="0"/>
              <w:snapToGrid w:val="0"/>
              <w:jc w:val="center"/>
              <w:rPr>
                <w:rFonts w:hint="default" w:ascii="Times New Roman" w:hAnsi="Times New Roman" w:eastAsia="宋体" w:cs="Times New Roman"/>
                <w:color w:val="auto"/>
                <w:kern w:val="2"/>
                <w:sz w:val="22"/>
                <w:szCs w:val="22"/>
                <w:lang w:val="en-US" w:eastAsia="zh-CN" w:bidi="ar-SA"/>
              </w:rPr>
            </w:pPr>
            <w:r>
              <w:rPr>
                <w:rFonts w:hint="eastAsia" w:cs="Times New Roman"/>
                <w:color w:val="auto"/>
                <w:kern w:val="2"/>
                <w:sz w:val="22"/>
                <w:szCs w:val="22"/>
                <w:lang w:val="en-US" w:eastAsia="zh-CN" w:bidi="ar-SA"/>
              </w:rPr>
              <w:t>/</w:t>
            </w:r>
          </w:p>
        </w:tc>
        <w:tc>
          <w:tcPr>
            <w:tcW w:w="1356" w:type="dxa"/>
            <w:vAlign w:val="center"/>
          </w:tcPr>
          <w:p w14:paraId="0267950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2"/>
                <w:szCs w:val="22"/>
                <w:vertAlign w:val="baseline"/>
                <w:lang w:val="en-US" w:eastAsia="zh-CN"/>
              </w:rPr>
            </w:pPr>
            <w:r>
              <w:rPr>
                <w:rFonts w:hint="eastAsia" w:cs="Times New Roman"/>
                <w:color w:val="auto"/>
                <w:sz w:val="22"/>
                <w:szCs w:val="22"/>
                <w:vertAlign w:val="baseline"/>
                <w:lang w:val="en-US" w:eastAsia="zh-CN"/>
              </w:rPr>
              <w:t>/</w:t>
            </w:r>
          </w:p>
        </w:tc>
      </w:tr>
      <w:tr w14:paraId="5B8982B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824" w:type="dxa"/>
            <w:vAlign w:val="center"/>
          </w:tcPr>
          <w:p w14:paraId="7545BDD7">
            <w:pPr>
              <w:adjustRightInd w:val="0"/>
              <w:snapToGrid w:val="0"/>
              <w:jc w:val="center"/>
              <w:rPr>
                <w:rFonts w:hint="eastAsia" w:ascii="宋体" w:hAnsi="宋体" w:eastAsia="宋体" w:cs="宋体"/>
                <w:color w:val="auto"/>
                <w:sz w:val="22"/>
                <w:szCs w:val="22"/>
                <w:lang w:eastAsia="zh-CN"/>
              </w:rPr>
            </w:pPr>
            <w:r>
              <w:rPr>
                <w:rFonts w:hint="eastAsia" w:ascii="宋体" w:hAnsi="宋体" w:cs="宋体"/>
                <w:color w:val="auto"/>
                <w:sz w:val="22"/>
                <w:szCs w:val="22"/>
                <w:lang w:eastAsia="zh-CN"/>
              </w:rPr>
              <w:t>水生生态</w:t>
            </w:r>
          </w:p>
        </w:tc>
        <w:tc>
          <w:tcPr>
            <w:tcW w:w="2880" w:type="dxa"/>
            <w:vAlign w:val="center"/>
          </w:tcPr>
          <w:p w14:paraId="69BB2BDD">
            <w:pPr>
              <w:adjustRightInd w:val="0"/>
              <w:snapToGrid w:val="0"/>
              <w:jc w:val="center"/>
              <w:rPr>
                <w:rFonts w:hint="eastAsia" w:cs="Times New Roman"/>
                <w:color w:val="auto"/>
                <w:kern w:val="2"/>
                <w:sz w:val="22"/>
                <w:szCs w:val="22"/>
                <w:lang w:val="en-US" w:eastAsia="zh-CN" w:bidi="ar-SA"/>
              </w:rPr>
            </w:pPr>
            <w:r>
              <w:rPr>
                <w:rFonts w:hint="eastAsia" w:cs="Times New Roman"/>
                <w:color w:val="auto"/>
                <w:kern w:val="2"/>
                <w:sz w:val="22"/>
                <w:szCs w:val="22"/>
                <w:lang w:val="en-US" w:eastAsia="zh-CN" w:bidi="ar-SA"/>
              </w:rPr>
              <w:t>1.严禁施工废水、泥浆、生活垃圾等排入王家河及周边沟渠。</w:t>
            </w:r>
          </w:p>
          <w:p w14:paraId="40DA6DBC">
            <w:pPr>
              <w:adjustRightInd w:val="0"/>
              <w:snapToGrid w:val="0"/>
              <w:jc w:val="center"/>
              <w:rPr>
                <w:rFonts w:hint="eastAsia" w:cs="Times New Roman"/>
                <w:color w:val="auto"/>
                <w:kern w:val="2"/>
                <w:sz w:val="22"/>
                <w:szCs w:val="22"/>
                <w:lang w:val="en-US" w:eastAsia="zh-CN" w:bidi="ar-SA"/>
              </w:rPr>
            </w:pPr>
            <w:r>
              <w:rPr>
                <w:rFonts w:hint="eastAsia" w:cs="Times New Roman"/>
                <w:color w:val="auto"/>
                <w:kern w:val="2"/>
                <w:sz w:val="22"/>
                <w:szCs w:val="22"/>
                <w:lang w:val="en-US" w:eastAsia="zh-CN" w:bidi="ar-SA"/>
              </w:rPr>
              <w:t>2排水管沟清淤采用分段、干式清淤，淤泥即清即运。</w:t>
            </w:r>
          </w:p>
          <w:p w14:paraId="4873BA36">
            <w:pPr>
              <w:adjustRightInd w:val="0"/>
              <w:snapToGrid w:val="0"/>
              <w:jc w:val="center"/>
              <w:rPr>
                <w:rFonts w:hint="default" w:ascii="Times New Roman" w:hAnsi="Times New Roman" w:eastAsia="宋体" w:cs="Times New Roman"/>
                <w:color w:val="auto"/>
                <w:kern w:val="2"/>
                <w:sz w:val="22"/>
                <w:szCs w:val="22"/>
                <w:lang w:val="en-US" w:eastAsia="zh-CN" w:bidi="ar-SA"/>
              </w:rPr>
            </w:pPr>
            <w:r>
              <w:rPr>
                <w:rFonts w:hint="eastAsia" w:cs="Times New Roman"/>
                <w:color w:val="auto"/>
                <w:kern w:val="2"/>
                <w:sz w:val="22"/>
                <w:szCs w:val="22"/>
                <w:lang w:val="en-US" w:eastAsia="zh-CN" w:bidi="ar-SA"/>
              </w:rPr>
              <w:t>3.对施工人员进行宣传教育，严禁捕捞鱼类。</w:t>
            </w:r>
          </w:p>
        </w:tc>
        <w:tc>
          <w:tcPr>
            <w:tcW w:w="2070" w:type="dxa"/>
            <w:vAlign w:val="center"/>
          </w:tcPr>
          <w:p w14:paraId="6695E508">
            <w:pPr>
              <w:adjustRightInd w:val="0"/>
              <w:snapToGrid w:val="0"/>
              <w:jc w:val="center"/>
              <w:rPr>
                <w:rFonts w:hint="default" w:ascii="Times New Roman" w:hAnsi="Times New Roman" w:eastAsia="宋体" w:cs="Times New Roman"/>
                <w:color w:val="auto"/>
                <w:kern w:val="2"/>
                <w:sz w:val="22"/>
                <w:szCs w:val="22"/>
                <w:lang w:val="en-US" w:eastAsia="zh-CN" w:bidi="ar-SA"/>
              </w:rPr>
            </w:pPr>
            <w:r>
              <w:rPr>
                <w:rFonts w:hint="eastAsia" w:cs="Times New Roman"/>
                <w:color w:val="auto"/>
                <w:kern w:val="2"/>
                <w:sz w:val="22"/>
                <w:szCs w:val="22"/>
                <w:lang w:val="en-US" w:eastAsia="zh-CN" w:bidi="ar-SA"/>
              </w:rPr>
              <w:t>未发生施工废水直排水体事件，无泥浆泄漏污染，清淤作业规范，未对王家河生态功能造成明显影响。</w:t>
            </w:r>
          </w:p>
        </w:tc>
        <w:tc>
          <w:tcPr>
            <w:tcW w:w="1670" w:type="dxa"/>
            <w:vAlign w:val="center"/>
          </w:tcPr>
          <w:p w14:paraId="14B31467">
            <w:pPr>
              <w:adjustRightInd w:val="0"/>
              <w:snapToGrid w:val="0"/>
              <w:jc w:val="center"/>
              <w:rPr>
                <w:rFonts w:hint="default" w:ascii="Times New Roman" w:hAnsi="Times New Roman" w:eastAsia="宋体" w:cs="Times New Roman"/>
                <w:color w:val="auto"/>
                <w:kern w:val="2"/>
                <w:sz w:val="22"/>
                <w:szCs w:val="22"/>
                <w:lang w:val="en-US" w:eastAsia="zh-CN" w:bidi="ar-SA"/>
              </w:rPr>
            </w:pPr>
            <w:r>
              <w:rPr>
                <w:rFonts w:hint="eastAsia" w:cs="Times New Roman"/>
                <w:color w:val="auto"/>
                <w:kern w:val="2"/>
                <w:sz w:val="22"/>
                <w:szCs w:val="22"/>
                <w:lang w:val="en-US" w:eastAsia="zh-CN" w:bidi="ar-SA"/>
              </w:rPr>
              <w:t>/</w:t>
            </w:r>
          </w:p>
        </w:tc>
        <w:tc>
          <w:tcPr>
            <w:tcW w:w="1356" w:type="dxa"/>
            <w:vAlign w:val="center"/>
          </w:tcPr>
          <w:p w14:paraId="014B307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2"/>
                <w:sz w:val="22"/>
                <w:szCs w:val="22"/>
                <w:vertAlign w:val="baseline"/>
                <w:lang w:val="en-US" w:eastAsia="zh-CN" w:bidi="ar-SA"/>
              </w:rPr>
            </w:pPr>
            <w:r>
              <w:rPr>
                <w:rFonts w:hint="eastAsia" w:cs="Times New Roman"/>
                <w:color w:val="auto"/>
                <w:kern w:val="2"/>
                <w:sz w:val="22"/>
                <w:szCs w:val="22"/>
                <w:vertAlign w:val="baseline"/>
                <w:lang w:val="en-US" w:eastAsia="zh-CN" w:bidi="ar-SA"/>
              </w:rPr>
              <w:t>/</w:t>
            </w:r>
          </w:p>
        </w:tc>
      </w:tr>
      <w:tr w14:paraId="3BDB347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824" w:type="dxa"/>
            <w:vAlign w:val="center"/>
          </w:tcPr>
          <w:p w14:paraId="4D8B682B">
            <w:pPr>
              <w:adjustRightInd w:val="0"/>
              <w:snapToGrid w:val="0"/>
              <w:jc w:val="center"/>
              <w:rPr>
                <w:rFonts w:hint="eastAsia" w:ascii="宋体" w:hAnsi="宋体" w:eastAsia="宋体" w:cs="宋体"/>
                <w:color w:val="auto"/>
                <w:sz w:val="22"/>
                <w:szCs w:val="22"/>
                <w:lang w:eastAsia="zh-CN"/>
              </w:rPr>
            </w:pPr>
            <w:r>
              <w:rPr>
                <w:rFonts w:hint="eastAsia" w:ascii="宋体" w:hAnsi="宋体" w:cs="宋体"/>
                <w:color w:val="auto"/>
                <w:sz w:val="22"/>
                <w:szCs w:val="22"/>
                <w:lang w:eastAsia="zh-CN"/>
              </w:rPr>
              <w:t>地表水环境</w:t>
            </w:r>
          </w:p>
        </w:tc>
        <w:tc>
          <w:tcPr>
            <w:tcW w:w="2880" w:type="dxa"/>
            <w:vAlign w:val="center"/>
          </w:tcPr>
          <w:p w14:paraId="106A203F">
            <w:pPr>
              <w:adjustRightInd w:val="0"/>
              <w:snapToGrid w:val="0"/>
              <w:jc w:val="center"/>
              <w:rPr>
                <w:rFonts w:hint="default"/>
                <w:color w:val="auto"/>
                <w:sz w:val="22"/>
                <w:szCs w:val="22"/>
                <w:lang w:val="en-US"/>
              </w:rPr>
            </w:pPr>
            <w:r>
              <w:rPr>
                <w:rFonts w:ascii="Segoe UI" w:hAnsi="Segoe UI" w:eastAsia="Segoe UI" w:cs="Segoe UI"/>
                <w:i w:val="0"/>
                <w:iCs w:val="0"/>
                <w:caps w:val="0"/>
                <w:color w:val="auto"/>
                <w:spacing w:val="0"/>
                <w:sz w:val="22"/>
                <w:szCs w:val="22"/>
                <w:shd w:val="clear" w:fill="FFFFFF"/>
              </w:rPr>
              <w:t>1.车辆冲洗废水经隔油池+沉淀池处理后回用于洒水降尘，不外排。</w:t>
            </w:r>
            <w:r>
              <w:rPr>
                <w:rFonts w:hint="default" w:ascii="Segoe UI" w:hAnsi="Segoe UI" w:eastAsia="Segoe UI" w:cs="Segoe UI"/>
                <w:i w:val="0"/>
                <w:iCs w:val="0"/>
                <w:caps w:val="0"/>
                <w:color w:val="auto"/>
                <w:spacing w:val="0"/>
                <w:sz w:val="22"/>
                <w:szCs w:val="22"/>
                <w:shd w:val="clear" w:fill="FFFFFF"/>
              </w:rPr>
              <w:br w:type="textWrapping"/>
            </w:r>
            <w:r>
              <w:rPr>
                <w:rFonts w:hint="default" w:ascii="Segoe UI" w:hAnsi="Segoe UI" w:eastAsia="Segoe UI" w:cs="Segoe UI"/>
                <w:i w:val="0"/>
                <w:iCs w:val="0"/>
                <w:caps w:val="0"/>
                <w:color w:val="auto"/>
                <w:spacing w:val="0"/>
                <w:sz w:val="22"/>
                <w:szCs w:val="22"/>
                <w:shd w:val="clear" w:fill="FFFFFF"/>
              </w:rPr>
              <w:t>2.顶管泥浆经泥水分离系统处理后，尾水循环利用，泥饼外运。</w:t>
            </w:r>
            <w:r>
              <w:rPr>
                <w:rFonts w:hint="default" w:ascii="Segoe UI" w:hAnsi="Segoe UI" w:eastAsia="Segoe UI" w:cs="Segoe UI"/>
                <w:i w:val="0"/>
                <w:iCs w:val="0"/>
                <w:caps w:val="0"/>
                <w:color w:val="auto"/>
                <w:spacing w:val="0"/>
                <w:sz w:val="22"/>
                <w:szCs w:val="22"/>
                <w:shd w:val="clear" w:fill="FFFFFF"/>
              </w:rPr>
              <w:br w:type="textWrapping"/>
            </w:r>
            <w:r>
              <w:rPr>
                <w:rFonts w:hint="default" w:ascii="Segoe UI" w:hAnsi="Segoe UI" w:eastAsia="Segoe UI" w:cs="Segoe UI"/>
                <w:i w:val="0"/>
                <w:iCs w:val="0"/>
                <w:caps w:val="0"/>
                <w:color w:val="auto"/>
                <w:spacing w:val="0"/>
                <w:sz w:val="22"/>
                <w:szCs w:val="22"/>
                <w:shd w:val="clear" w:fill="FFFFFF"/>
              </w:rPr>
              <w:t>3.基坑降水、管道试压废水经沉淀池沉淀后排入市政雨水管网。</w:t>
            </w:r>
            <w:r>
              <w:rPr>
                <w:rFonts w:hint="default" w:ascii="Segoe UI" w:hAnsi="Segoe UI" w:eastAsia="Segoe UI" w:cs="Segoe UI"/>
                <w:i w:val="0"/>
                <w:iCs w:val="0"/>
                <w:caps w:val="0"/>
                <w:color w:val="auto"/>
                <w:spacing w:val="0"/>
                <w:sz w:val="22"/>
                <w:szCs w:val="22"/>
                <w:shd w:val="clear" w:fill="FFFFFF"/>
              </w:rPr>
              <w:br w:type="textWrapping"/>
            </w:r>
            <w:r>
              <w:rPr>
                <w:rFonts w:hint="default" w:ascii="Segoe UI" w:hAnsi="Segoe UI" w:eastAsia="Segoe UI" w:cs="Segoe UI"/>
                <w:i w:val="0"/>
                <w:iCs w:val="0"/>
                <w:caps w:val="0"/>
                <w:color w:val="auto"/>
                <w:spacing w:val="0"/>
                <w:sz w:val="22"/>
                <w:szCs w:val="22"/>
                <w:shd w:val="clear" w:fill="FFFFFF"/>
              </w:rPr>
              <w:t>4.生活污水依托沿线现有民房化粪池处理，不单独排放。</w:t>
            </w:r>
          </w:p>
        </w:tc>
        <w:tc>
          <w:tcPr>
            <w:tcW w:w="2070" w:type="dxa"/>
            <w:vAlign w:val="center"/>
          </w:tcPr>
          <w:p w14:paraId="3A3A6BC9">
            <w:pPr>
              <w:adjustRightInd w:val="0"/>
              <w:snapToGrid w:val="0"/>
              <w:jc w:val="center"/>
              <w:rPr>
                <w:rFonts w:hint="default" w:ascii="Times New Roman" w:hAnsi="Times New Roman" w:eastAsia="宋体" w:cs="Times New Roman"/>
                <w:color w:val="auto"/>
                <w:sz w:val="22"/>
                <w:szCs w:val="22"/>
                <w:lang w:val="en-US" w:eastAsia="zh-CN"/>
              </w:rPr>
            </w:pPr>
            <w:r>
              <w:rPr>
                <w:rFonts w:hint="default" w:ascii="Times New Roman" w:hAnsi="Times New Roman" w:eastAsia="宋体" w:cs="Times New Roman"/>
                <w:color w:val="auto"/>
                <w:sz w:val="22"/>
                <w:szCs w:val="22"/>
                <w:lang w:val="en-US" w:eastAsia="zh-CN"/>
              </w:rPr>
              <w:t>施工废水无外排，其余措施已按要求执行，未对地表水环境产生明显影响。</w:t>
            </w:r>
          </w:p>
        </w:tc>
        <w:tc>
          <w:tcPr>
            <w:tcW w:w="1670" w:type="dxa"/>
            <w:vAlign w:val="center"/>
          </w:tcPr>
          <w:p w14:paraId="70C21CD1">
            <w:pPr>
              <w:adjustRightInd w:val="0"/>
              <w:snapToGrid w:val="0"/>
              <w:jc w:val="center"/>
              <w:rPr>
                <w:rFonts w:hint="default" w:ascii="Times New Roman" w:hAnsi="Times New Roman" w:cs="Times New Roman"/>
                <w:color w:val="auto"/>
                <w:sz w:val="22"/>
                <w:szCs w:val="22"/>
                <w:lang w:val="en-US" w:eastAsia="zh-CN"/>
              </w:rPr>
            </w:pPr>
            <w:r>
              <w:rPr>
                <w:rFonts w:hint="eastAsia" w:cs="Times New Roman"/>
                <w:color w:val="auto"/>
                <w:sz w:val="22"/>
                <w:szCs w:val="22"/>
                <w:lang w:val="en-US" w:eastAsia="zh-CN"/>
              </w:rPr>
              <w:t>/</w:t>
            </w:r>
          </w:p>
        </w:tc>
        <w:tc>
          <w:tcPr>
            <w:tcW w:w="1356" w:type="dxa"/>
            <w:vAlign w:val="center"/>
          </w:tcPr>
          <w:p w14:paraId="217A3C3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2"/>
                <w:szCs w:val="22"/>
                <w:lang w:val="en-US" w:eastAsia="zh-CN"/>
              </w:rPr>
            </w:pPr>
            <w:r>
              <w:rPr>
                <w:rFonts w:hint="eastAsia" w:cs="Times New Roman"/>
                <w:color w:val="auto"/>
                <w:sz w:val="22"/>
                <w:szCs w:val="22"/>
                <w:lang w:val="en-US" w:eastAsia="zh-CN"/>
              </w:rPr>
              <w:t>/</w:t>
            </w:r>
          </w:p>
        </w:tc>
      </w:tr>
      <w:tr w14:paraId="51F52DF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824" w:type="dxa"/>
            <w:vAlign w:val="center"/>
          </w:tcPr>
          <w:p w14:paraId="0A938211">
            <w:pPr>
              <w:adjustRightInd w:val="0"/>
              <w:snapToGrid w:val="0"/>
              <w:jc w:val="center"/>
              <w:rPr>
                <w:rFonts w:hint="eastAsia" w:ascii="宋体" w:hAnsi="宋体" w:eastAsia="宋体" w:cs="宋体"/>
                <w:color w:val="auto"/>
                <w:sz w:val="22"/>
                <w:szCs w:val="22"/>
                <w:lang w:eastAsia="zh-CN"/>
              </w:rPr>
            </w:pPr>
            <w:r>
              <w:rPr>
                <w:rFonts w:hint="eastAsia" w:ascii="宋体" w:hAnsi="宋体" w:cs="宋体"/>
                <w:color w:val="auto"/>
                <w:sz w:val="22"/>
                <w:szCs w:val="22"/>
                <w:lang w:eastAsia="zh-CN"/>
              </w:rPr>
              <w:t>地下水及土壤环境</w:t>
            </w:r>
          </w:p>
        </w:tc>
        <w:tc>
          <w:tcPr>
            <w:tcW w:w="2880" w:type="dxa"/>
            <w:vAlign w:val="center"/>
          </w:tcPr>
          <w:p w14:paraId="7F6EC44F">
            <w:pPr>
              <w:adjustRightInd w:val="0"/>
              <w:snapToGrid w:val="0"/>
              <w:jc w:val="center"/>
              <w:rPr>
                <w:rFonts w:hint="default" w:eastAsia="宋体"/>
                <w:color w:val="auto"/>
                <w:sz w:val="22"/>
                <w:szCs w:val="22"/>
                <w:lang w:val="en-US" w:eastAsia="zh-CN"/>
              </w:rPr>
            </w:pPr>
            <w:r>
              <w:rPr>
                <w:rFonts w:hint="eastAsia"/>
                <w:color w:val="auto"/>
                <w:sz w:val="22"/>
                <w:szCs w:val="22"/>
                <w:lang w:val="en-US" w:eastAsia="zh-CN"/>
              </w:rPr>
              <w:t>/</w:t>
            </w:r>
          </w:p>
        </w:tc>
        <w:tc>
          <w:tcPr>
            <w:tcW w:w="2070" w:type="dxa"/>
            <w:vAlign w:val="center"/>
          </w:tcPr>
          <w:p w14:paraId="08388977">
            <w:pPr>
              <w:adjustRightInd w:val="0"/>
              <w:snapToGrid w:val="0"/>
              <w:jc w:val="center"/>
              <w:rPr>
                <w:rFonts w:hint="default" w:ascii="Times New Roman" w:hAnsi="Times New Roman" w:eastAsia="宋体" w:cs="Times New Roman"/>
                <w:color w:val="auto"/>
                <w:sz w:val="22"/>
                <w:szCs w:val="22"/>
                <w:lang w:val="en-US" w:eastAsia="zh-CN"/>
              </w:rPr>
            </w:pPr>
            <w:r>
              <w:rPr>
                <w:rFonts w:hint="eastAsia" w:cs="Times New Roman"/>
                <w:color w:val="auto"/>
                <w:sz w:val="22"/>
                <w:szCs w:val="22"/>
                <w:lang w:val="en-US" w:eastAsia="zh-CN"/>
              </w:rPr>
              <w:t>/</w:t>
            </w:r>
          </w:p>
        </w:tc>
        <w:tc>
          <w:tcPr>
            <w:tcW w:w="1670" w:type="dxa"/>
            <w:vAlign w:val="center"/>
          </w:tcPr>
          <w:p w14:paraId="5033BE06">
            <w:pPr>
              <w:adjustRightInd w:val="0"/>
              <w:snapToGrid w:val="0"/>
              <w:jc w:val="center"/>
              <w:rPr>
                <w:rFonts w:hint="default" w:ascii="宋体" w:hAnsi="宋体" w:eastAsia="宋体" w:cs="宋体"/>
                <w:color w:val="auto"/>
                <w:sz w:val="22"/>
                <w:szCs w:val="22"/>
                <w:lang w:val="en-US" w:eastAsia="zh-CN"/>
              </w:rPr>
            </w:pPr>
            <w:r>
              <w:rPr>
                <w:rFonts w:hint="eastAsia" w:ascii="宋体" w:hAnsi="宋体" w:cs="宋体"/>
                <w:color w:val="auto"/>
                <w:sz w:val="22"/>
                <w:szCs w:val="22"/>
                <w:lang w:val="en-US" w:eastAsia="zh-CN"/>
              </w:rPr>
              <w:t>/</w:t>
            </w:r>
          </w:p>
        </w:tc>
        <w:tc>
          <w:tcPr>
            <w:tcW w:w="1356" w:type="dxa"/>
            <w:vAlign w:val="center"/>
          </w:tcPr>
          <w:p w14:paraId="474995D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2"/>
                <w:szCs w:val="22"/>
                <w:vertAlign w:val="baseline"/>
                <w:lang w:val="en-US" w:eastAsia="zh-CN"/>
              </w:rPr>
            </w:pPr>
            <w:r>
              <w:rPr>
                <w:rFonts w:hint="eastAsia" w:cs="Times New Roman"/>
                <w:color w:val="auto"/>
                <w:sz w:val="22"/>
                <w:szCs w:val="22"/>
                <w:vertAlign w:val="baseline"/>
                <w:lang w:val="en-US" w:eastAsia="zh-CN"/>
              </w:rPr>
              <w:t>/</w:t>
            </w:r>
          </w:p>
        </w:tc>
      </w:tr>
      <w:tr w14:paraId="25D7B6C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824" w:type="dxa"/>
            <w:vAlign w:val="center"/>
          </w:tcPr>
          <w:p w14:paraId="18348E09">
            <w:pPr>
              <w:adjustRightInd w:val="0"/>
              <w:snapToGrid w:val="0"/>
              <w:jc w:val="center"/>
              <w:rPr>
                <w:rFonts w:hint="eastAsia" w:ascii="宋体" w:hAnsi="宋体" w:cs="宋体"/>
                <w:color w:val="auto"/>
                <w:sz w:val="22"/>
                <w:szCs w:val="22"/>
              </w:rPr>
            </w:pPr>
            <w:r>
              <w:rPr>
                <w:rFonts w:hint="eastAsia" w:ascii="宋体" w:hAnsi="宋体" w:cs="宋体"/>
                <w:color w:val="auto"/>
                <w:sz w:val="22"/>
                <w:szCs w:val="22"/>
                <w:lang w:eastAsia="zh-CN"/>
              </w:rPr>
              <w:t>声</w:t>
            </w:r>
            <w:r>
              <w:rPr>
                <w:rFonts w:hint="eastAsia" w:ascii="宋体" w:hAnsi="宋体" w:cs="宋体"/>
                <w:color w:val="auto"/>
                <w:sz w:val="22"/>
                <w:szCs w:val="22"/>
              </w:rPr>
              <w:t>环境</w:t>
            </w:r>
          </w:p>
        </w:tc>
        <w:tc>
          <w:tcPr>
            <w:tcW w:w="2880" w:type="dxa"/>
            <w:vAlign w:val="center"/>
          </w:tcPr>
          <w:p w14:paraId="7B631FAE">
            <w:pPr>
              <w:adjustRightInd w:val="0"/>
              <w:snapToGrid w:val="0"/>
              <w:jc w:val="center"/>
              <w:rPr>
                <w:rFonts w:hint="default" w:ascii="Times New Roman" w:hAnsi="Times New Roman" w:eastAsia="宋体" w:cs="Times New Roman"/>
                <w:color w:val="auto"/>
                <w:sz w:val="22"/>
                <w:szCs w:val="22"/>
                <w:lang w:val="en-US" w:eastAsia="zh-CN"/>
              </w:rPr>
            </w:pPr>
            <w:r>
              <w:rPr>
                <w:rFonts w:hint="default" w:ascii="Times New Roman" w:hAnsi="Times New Roman" w:eastAsia="宋体" w:cs="Times New Roman"/>
                <w:color w:val="auto"/>
                <w:sz w:val="22"/>
                <w:szCs w:val="22"/>
                <w:lang w:val="en-US" w:eastAsia="zh-CN"/>
              </w:rPr>
              <w:t>1.选用符合国家标准的低噪声施工机械设备。</w:t>
            </w:r>
          </w:p>
          <w:p w14:paraId="59235617">
            <w:pPr>
              <w:adjustRightInd w:val="0"/>
              <w:snapToGrid w:val="0"/>
              <w:jc w:val="center"/>
              <w:rPr>
                <w:rFonts w:hint="default" w:ascii="Times New Roman" w:hAnsi="Times New Roman" w:eastAsia="宋体" w:cs="Times New Roman"/>
                <w:color w:val="auto"/>
                <w:sz w:val="22"/>
                <w:szCs w:val="22"/>
                <w:lang w:val="en-US" w:eastAsia="zh-CN"/>
              </w:rPr>
            </w:pPr>
            <w:r>
              <w:rPr>
                <w:rFonts w:hint="default" w:ascii="Times New Roman" w:hAnsi="Times New Roman" w:eastAsia="宋体" w:cs="Times New Roman"/>
                <w:color w:val="auto"/>
                <w:sz w:val="22"/>
                <w:szCs w:val="22"/>
                <w:lang w:val="en-US" w:eastAsia="zh-CN"/>
              </w:rPr>
              <w:t>2.高噪声设备布置在远离敏感点一侧。</w:t>
            </w:r>
          </w:p>
          <w:p w14:paraId="59A7D041">
            <w:pPr>
              <w:adjustRightInd w:val="0"/>
              <w:snapToGrid w:val="0"/>
              <w:jc w:val="center"/>
              <w:rPr>
                <w:rFonts w:hint="default" w:ascii="Times New Roman" w:hAnsi="Times New Roman" w:eastAsia="宋体" w:cs="Times New Roman"/>
                <w:color w:val="auto"/>
                <w:sz w:val="22"/>
                <w:szCs w:val="22"/>
                <w:lang w:val="en-US" w:eastAsia="zh-CN"/>
              </w:rPr>
            </w:pPr>
            <w:r>
              <w:rPr>
                <w:rFonts w:hint="default" w:ascii="Times New Roman" w:hAnsi="Times New Roman" w:eastAsia="宋体" w:cs="Times New Roman"/>
                <w:color w:val="auto"/>
                <w:sz w:val="22"/>
                <w:szCs w:val="22"/>
                <w:lang w:val="en-US" w:eastAsia="zh-CN"/>
              </w:rPr>
              <w:t>3.禁止在午间（12:00-14:00）和夜间（22:00-次日06:00）进行高噪声施工作业。</w:t>
            </w:r>
          </w:p>
          <w:p w14:paraId="1712DF66">
            <w:pPr>
              <w:adjustRightInd w:val="0"/>
              <w:snapToGrid w:val="0"/>
              <w:jc w:val="center"/>
              <w:rPr>
                <w:rFonts w:hint="default" w:ascii="Times New Roman" w:hAnsi="Times New Roman" w:eastAsia="宋体" w:cs="Times New Roman"/>
                <w:color w:val="auto"/>
                <w:sz w:val="22"/>
                <w:szCs w:val="22"/>
                <w:lang w:val="en-US" w:eastAsia="zh-CN"/>
              </w:rPr>
            </w:pPr>
            <w:r>
              <w:rPr>
                <w:rFonts w:hint="default" w:ascii="Times New Roman" w:hAnsi="Times New Roman" w:eastAsia="宋体" w:cs="Times New Roman"/>
                <w:color w:val="auto"/>
                <w:sz w:val="22"/>
                <w:szCs w:val="22"/>
                <w:lang w:val="en-US" w:eastAsia="zh-CN"/>
              </w:rPr>
              <w:t>4.距离敏感点小于30m的施工段设置不低于2m的临时声屏障。</w:t>
            </w:r>
          </w:p>
        </w:tc>
        <w:tc>
          <w:tcPr>
            <w:tcW w:w="2070" w:type="dxa"/>
            <w:vAlign w:val="center"/>
          </w:tcPr>
          <w:p w14:paraId="2866B0CE">
            <w:pPr>
              <w:adjustRightInd w:val="0"/>
              <w:snapToGrid w:val="0"/>
              <w:jc w:val="center"/>
              <w:rPr>
                <w:rFonts w:hint="default" w:ascii="Times New Roman" w:hAnsi="Times New Roman" w:eastAsia="宋体" w:cs="Times New Roman"/>
                <w:color w:val="auto"/>
                <w:sz w:val="22"/>
                <w:szCs w:val="22"/>
                <w:lang w:val="en-US" w:eastAsia="zh-CN"/>
              </w:rPr>
            </w:pPr>
            <w:r>
              <w:rPr>
                <w:rFonts w:hint="default" w:ascii="Times New Roman" w:hAnsi="Times New Roman" w:eastAsia="宋体" w:cs="Times New Roman"/>
                <w:color w:val="auto"/>
                <w:sz w:val="22"/>
                <w:szCs w:val="22"/>
                <w:lang w:val="en-US" w:eastAsia="zh-CN"/>
              </w:rPr>
              <w:t>满足《建筑施工噪声排放标准》（GB12523-2025）（昼间70dB（A）、夜间55dB（A））</w:t>
            </w:r>
          </w:p>
        </w:tc>
        <w:tc>
          <w:tcPr>
            <w:tcW w:w="1670" w:type="dxa"/>
            <w:vAlign w:val="center"/>
          </w:tcPr>
          <w:p w14:paraId="089A12AF">
            <w:pPr>
              <w:adjustRightInd w:val="0"/>
              <w:snapToGrid w:val="0"/>
              <w:jc w:val="center"/>
              <w:rPr>
                <w:rFonts w:hint="default" w:ascii="Times New Roman" w:hAnsi="Times New Roman" w:eastAsia="宋体" w:cs="Times New Roman"/>
                <w:color w:val="auto"/>
                <w:sz w:val="22"/>
                <w:szCs w:val="22"/>
                <w:lang w:val="en-US" w:eastAsia="zh-CN"/>
              </w:rPr>
            </w:pPr>
            <w:r>
              <w:rPr>
                <w:rFonts w:hint="default" w:ascii="Times New Roman" w:hAnsi="Times New Roman" w:eastAsia="宋体" w:cs="Times New Roman"/>
                <w:color w:val="auto"/>
                <w:sz w:val="22"/>
                <w:szCs w:val="22"/>
                <w:lang w:val="en-US" w:eastAsia="zh-CN"/>
              </w:rPr>
              <w:t>1.加压泵站选用低噪声、低振动水泵（≤70dB(A)）。</w:t>
            </w:r>
          </w:p>
          <w:p w14:paraId="731DA821">
            <w:pPr>
              <w:adjustRightInd w:val="0"/>
              <w:snapToGrid w:val="0"/>
              <w:jc w:val="center"/>
              <w:rPr>
                <w:rFonts w:hint="default" w:ascii="Times New Roman" w:hAnsi="Times New Roman" w:eastAsia="宋体" w:cs="Times New Roman"/>
                <w:color w:val="auto"/>
                <w:sz w:val="22"/>
                <w:szCs w:val="22"/>
                <w:lang w:val="en-US" w:eastAsia="zh-CN"/>
              </w:rPr>
            </w:pPr>
            <w:r>
              <w:rPr>
                <w:rFonts w:hint="default" w:ascii="Times New Roman" w:hAnsi="Times New Roman" w:eastAsia="宋体" w:cs="Times New Roman"/>
                <w:color w:val="auto"/>
                <w:sz w:val="22"/>
                <w:szCs w:val="22"/>
                <w:lang w:val="en-US" w:eastAsia="zh-CN"/>
              </w:rPr>
              <w:t>2.水泵安装基础减振垫，进出口设柔性橡胶接头。</w:t>
            </w:r>
          </w:p>
          <w:p w14:paraId="7B60DAD0">
            <w:pPr>
              <w:adjustRightInd w:val="0"/>
              <w:snapToGrid w:val="0"/>
              <w:jc w:val="center"/>
              <w:rPr>
                <w:rFonts w:hint="default" w:ascii="Times New Roman" w:hAnsi="Times New Roman" w:eastAsia="宋体" w:cs="Times New Roman"/>
                <w:color w:val="auto"/>
                <w:sz w:val="22"/>
                <w:szCs w:val="22"/>
                <w:lang w:val="en-US" w:eastAsia="zh-CN"/>
              </w:rPr>
            </w:pPr>
            <w:r>
              <w:rPr>
                <w:rFonts w:hint="default" w:ascii="Times New Roman" w:hAnsi="Times New Roman" w:eastAsia="宋体" w:cs="Times New Roman"/>
                <w:color w:val="auto"/>
                <w:sz w:val="22"/>
                <w:szCs w:val="22"/>
                <w:lang w:val="en-US" w:eastAsia="zh-CN"/>
              </w:rPr>
              <w:t>3.泵房采用实心砖墙结构（≥240mm），门窗采用隔声门窗（隔声量≥25dB(A)）。</w:t>
            </w:r>
          </w:p>
          <w:p w14:paraId="4F7711E4">
            <w:pPr>
              <w:adjustRightInd w:val="0"/>
              <w:snapToGrid w:val="0"/>
              <w:jc w:val="center"/>
              <w:rPr>
                <w:rFonts w:hint="default" w:ascii="Times New Roman" w:hAnsi="Times New Roman" w:eastAsia="宋体" w:cs="Times New Roman"/>
                <w:color w:val="auto"/>
                <w:sz w:val="22"/>
                <w:szCs w:val="22"/>
                <w:lang w:val="en-US" w:eastAsia="zh-CN"/>
              </w:rPr>
            </w:pPr>
            <w:r>
              <w:rPr>
                <w:rFonts w:hint="default" w:ascii="Times New Roman" w:hAnsi="Times New Roman" w:eastAsia="宋体" w:cs="Times New Roman"/>
                <w:color w:val="auto"/>
                <w:sz w:val="22"/>
                <w:szCs w:val="22"/>
                <w:lang w:val="en-US" w:eastAsia="zh-CN"/>
              </w:rPr>
              <w:t>4.设备定期维护保养。</w:t>
            </w:r>
          </w:p>
        </w:tc>
        <w:tc>
          <w:tcPr>
            <w:tcW w:w="1356" w:type="dxa"/>
            <w:vAlign w:val="center"/>
          </w:tcPr>
          <w:p w14:paraId="2BD409D6">
            <w:pPr>
              <w:adjustRightInd w:val="0"/>
              <w:snapToGrid w:val="0"/>
              <w:jc w:val="center"/>
              <w:rPr>
                <w:rFonts w:hint="default" w:ascii="Times New Roman" w:hAnsi="Times New Roman" w:eastAsia="宋体" w:cs="Times New Roman"/>
                <w:color w:val="auto"/>
                <w:sz w:val="22"/>
                <w:szCs w:val="22"/>
                <w:lang w:val="en-US" w:eastAsia="zh-CN"/>
              </w:rPr>
            </w:pPr>
            <w:r>
              <w:rPr>
                <w:rFonts w:hint="default" w:ascii="Times New Roman" w:hAnsi="Times New Roman" w:eastAsia="宋体" w:cs="Times New Roman"/>
                <w:color w:val="auto"/>
                <w:sz w:val="22"/>
                <w:szCs w:val="22"/>
                <w:lang w:val="en-US" w:eastAsia="zh-CN"/>
              </w:rPr>
              <w:t>满足</w:t>
            </w:r>
            <w:r>
              <w:rPr>
                <w:rFonts w:hint="eastAsia"/>
                <w:color w:val="auto"/>
                <w:sz w:val="24"/>
                <w:szCs w:val="24"/>
                <w:lang w:val="en-US" w:eastAsia="zh-CN"/>
              </w:rPr>
              <w:t>GB12348中</w:t>
            </w:r>
            <w:r>
              <w:rPr>
                <w:rFonts w:hint="default" w:ascii="Times New Roman" w:hAnsi="Times New Roman" w:eastAsia="宋体" w:cs="Times New Roman"/>
                <w:color w:val="auto"/>
                <w:sz w:val="22"/>
                <w:szCs w:val="22"/>
                <w:lang w:val="en-US" w:eastAsia="zh-CN"/>
              </w:rPr>
              <w:t>2类标准。</w:t>
            </w:r>
          </w:p>
        </w:tc>
      </w:tr>
      <w:tr w14:paraId="2091409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824" w:type="dxa"/>
            <w:vAlign w:val="center"/>
          </w:tcPr>
          <w:p w14:paraId="1AB02C43">
            <w:pPr>
              <w:adjustRightInd w:val="0"/>
              <w:snapToGrid w:val="0"/>
              <w:jc w:val="center"/>
              <w:rPr>
                <w:rFonts w:hint="eastAsia" w:ascii="宋体" w:hAnsi="宋体" w:eastAsia="宋体" w:cs="宋体"/>
                <w:color w:val="auto"/>
                <w:sz w:val="22"/>
                <w:szCs w:val="22"/>
                <w:lang w:eastAsia="zh-CN"/>
              </w:rPr>
            </w:pPr>
            <w:r>
              <w:rPr>
                <w:rFonts w:hint="eastAsia" w:ascii="宋体" w:hAnsi="宋体" w:cs="宋体"/>
                <w:color w:val="auto"/>
                <w:sz w:val="22"/>
                <w:szCs w:val="22"/>
                <w:lang w:eastAsia="zh-CN"/>
              </w:rPr>
              <w:t>振动</w:t>
            </w:r>
          </w:p>
        </w:tc>
        <w:tc>
          <w:tcPr>
            <w:tcW w:w="2880" w:type="dxa"/>
            <w:vAlign w:val="center"/>
          </w:tcPr>
          <w:p w14:paraId="2D7ED0B3">
            <w:pPr>
              <w:adjustRightInd w:val="0"/>
              <w:snapToGrid w:val="0"/>
              <w:jc w:val="center"/>
              <w:rPr>
                <w:rFonts w:hint="default" w:ascii="Times New Roman" w:hAnsi="Times New Roman" w:eastAsia="宋体" w:cs="Times New Roman"/>
                <w:color w:val="auto"/>
                <w:sz w:val="22"/>
                <w:szCs w:val="22"/>
                <w:lang w:val="en-US" w:eastAsia="zh-CN"/>
              </w:rPr>
            </w:pPr>
            <w:r>
              <w:rPr>
                <w:rFonts w:hint="eastAsia" w:cs="Times New Roman"/>
                <w:color w:val="auto"/>
                <w:sz w:val="22"/>
                <w:szCs w:val="22"/>
                <w:lang w:val="en-US" w:eastAsia="zh-CN"/>
              </w:rPr>
              <w:t>/</w:t>
            </w:r>
          </w:p>
        </w:tc>
        <w:tc>
          <w:tcPr>
            <w:tcW w:w="2070" w:type="dxa"/>
            <w:vAlign w:val="center"/>
          </w:tcPr>
          <w:p w14:paraId="54E3305B">
            <w:pPr>
              <w:adjustRightInd w:val="0"/>
              <w:snapToGrid w:val="0"/>
              <w:jc w:val="center"/>
              <w:rPr>
                <w:rFonts w:hint="default" w:ascii="Times New Roman" w:hAnsi="Times New Roman" w:eastAsia="宋体" w:cs="Times New Roman"/>
                <w:color w:val="auto"/>
                <w:sz w:val="22"/>
                <w:szCs w:val="22"/>
                <w:lang w:val="en-US" w:eastAsia="zh-CN"/>
              </w:rPr>
            </w:pPr>
            <w:r>
              <w:rPr>
                <w:rFonts w:hint="eastAsia" w:cs="Times New Roman"/>
                <w:color w:val="auto"/>
                <w:sz w:val="22"/>
                <w:szCs w:val="22"/>
                <w:lang w:val="en-US" w:eastAsia="zh-CN"/>
              </w:rPr>
              <w:t>/</w:t>
            </w:r>
          </w:p>
        </w:tc>
        <w:tc>
          <w:tcPr>
            <w:tcW w:w="1670" w:type="dxa"/>
            <w:vAlign w:val="center"/>
          </w:tcPr>
          <w:p w14:paraId="05F41716">
            <w:pPr>
              <w:adjustRightInd w:val="0"/>
              <w:snapToGrid w:val="0"/>
              <w:jc w:val="center"/>
              <w:rPr>
                <w:rFonts w:hint="eastAsia" w:ascii="Times New Roman" w:hAnsi="Times New Roman" w:eastAsia="宋体" w:cs="Times New Roman"/>
                <w:color w:val="auto"/>
                <w:sz w:val="22"/>
                <w:szCs w:val="22"/>
                <w:lang w:val="en-US" w:eastAsia="zh-CN"/>
              </w:rPr>
            </w:pPr>
            <w:r>
              <w:rPr>
                <w:rFonts w:hint="eastAsia" w:cs="Times New Roman"/>
                <w:color w:val="auto"/>
                <w:sz w:val="22"/>
                <w:szCs w:val="22"/>
                <w:lang w:val="en-US" w:eastAsia="zh-CN"/>
              </w:rPr>
              <w:t>/</w:t>
            </w:r>
          </w:p>
        </w:tc>
        <w:tc>
          <w:tcPr>
            <w:tcW w:w="1356" w:type="dxa"/>
            <w:vAlign w:val="center"/>
          </w:tcPr>
          <w:p w14:paraId="7EA35012">
            <w:pPr>
              <w:adjustRightInd w:val="0"/>
              <w:snapToGrid w:val="0"/>
              <w:jc w:val="center"/>
              <w:rPr>
                <w:rFonts w:hint="default" w:ascii="Times New Roman" w:hAnsi="Times New Roman" w:eastAsia="宋体" w:cs="Times New Roman"/>
                <w:color w:val="auto"/>
                <w:sz w:val="22"/>
                <w:szCs w:val="22"/>
                <w:lang w:val="en-US" w:eastAsia="zh-CN"/>
              </w:rPr>
            </w:pPr>
            <w:r>
              <w:rPr>
                <w:rFonts w:hint="eastAsia" w:cs="Times New Roman"/>
                <w:color w:val="auto"/>
                <w:sz w:val="22"/>
                <w:szCs w:val="22"/>
                <w:lang w:val="en-US" w:eastAsia="zh-CN"/>
              </w:rPr>
              <w:t>/</w:t>
            </w:r>
          </w:p>
        </w:tc>
      </w:tr>
      <w:tr w14:paraId="77F5293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824" w:type="dxa"/>
            <w:vAlign w:val="center"/>
          </w:tcPr>
          <w:p w14:paraId="4C628EF7">
            <w:pPr>
              <w:adjustRightInd w:val="0"/>
              <w:snapToGrid w:val="0"/>
              <w:jc w:val="center"/>
              <w:rPr>
                <w:rFonts w:hint="eastAsia" w:ascii="宋体" w:hAnsi="宋体" w:eastAsia="宋体" w:cs="宋体"/>
                <w:color w:val="auto"/>
                <w:sz w:val="22"/>
                <w:szCs w:val="22"/>
                <w:lang w:eastAsia="zh-CN"/>
              </w:rPr>
            </w:pPr>
            <w:r>
              <w:rPr>
                <w:rFonts w:hint="eastAsia" w:ascii="宋体" w:hAnsi="宋体" w:cs="宋体"/>
                <w:color w:val="auto"/>
                <w:sz w:val="22"/>
                <w:szCs w:val="22"/>
                <w:lang w:eastAsia="zh-CN"/>
              </w:rPr>
              <w:t>大气环境</w:t>
            </w:r>
          </w:p>
        </w:tc>
        <w:tc>
          <w:tcPr>
            <w:tcW w:w="2880" w:type="dxa"/>
            <w:vAlign w:val="center"/>
          </w:tcPr>
          <w:p w14:paraId="23CB45E5">
            <w:pPr>
              <w:adjustRightInd w:val="0"/>
              <w:snapToGrid w:val="0"/>
              <w:jc w:val="center"/>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1.施工区域设置连续、密闭围挡（≥2.5m）及喷雾降尘装置。</w:t>
            </w:r>
          </w:p>
          <w:p w14:paraId="45C9612E">
            <w:pPr>
              <w:adjustRightInd w:val="0"/>
              <w:snapToGrid w:val="0"/>
              <w:jc w:val="center"/>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2.施工道路及作业区定时洒水（每天≥4次）。</w:t>
            </w:r>
          </w:p>
          <w:p w14:paraId="18060BDA">
            <w:pPr>
              <w:adjustRightInd w:val="0"/>
              <w:snapToGrid w:val="0"/>
              <w:jc w:val="center"/>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3.易扬尘材料及临时堆土采用防尘网全覆盖；土方开挖湿法作业。</w:t>
            </w:r>
          </w:p>
          <w:p w14:paraId="5A92FC48">
            <w:pPr>
              <w:adjustRightInd w:val="0"/>
              <w:snapToGrid w:val="0"/>
              <w:jc w:val="center"/>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4.出入口设置车辆冲洗平台，车辆密闭运输。</w:t>
            </w:r>
          </w:p>
          <w:p w14:paraId="4DC02C8A">
            <w:pPr>
              <w:adjustRightInd w:val="0"/>
              <w:snapToGrid w:val="0"/>
              <w:jc w:val="center"/>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5.清淤作业分段进行，设置围挡，必要时喷洒除臭剂，淤泥即清即运。</w:t>
            </w:r>
          </w:p>
        </w:tc>
        <w:tc>
          <w:tcPr>
            <w:tcW w:w="2070" w:type="dxa"/>
            <w:vAlign w:val="center"/>
          </w:tcPr>
          <w:p w14:paraId="602E8785">
            <w:pPr>
              <w:adjustRightInd w:val="0"/>
              <w:snapToGrid w:val="0"/>
              <w:jc w:val="center"/>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满足《大气污染物综合排放标准》（GB16297-1996）中无组织排放监控浓度限值（颗粒物≤1.0mg/m³），无明显恶臭扰民。</w:t>
            </w:r>
          </w:p>
        </w:tc>
        <w:tc>
          <w:tcPr>
            <w:tcW w:w="1670" w:type="dxa"/>
            <w:vAlign w:val="center"/>
          </w:tcPr>
          <w:p w14:paraId="234FFB53">
            <w:pPr>
              <w:adjustRightInd w:val="0"/>
              <w:snapToGrid w:val="0"/>
              <w:jc w:val="center"/>
              <w:rPr>
                <w:rFonts w:hint="default" w:ascii="宋体" w:hAnsi="宋体" w:eastAsia="宋体" w:cs="宋体"/>
                <w:color w:val="auto"/>
                <w:sz w:val="22"/>
                <w:szCs w:val="22"/>
                <w:lang w:val="en-US" w:eastAsia="zh-CN"/>
              </w:rPr>
            </w:pPr>
            <w:r>
              <w:rPr>
                <w:rFonts w:hint="eastAsia" w:ascii="宋体" w:hAnsi="宋体" w:cs="宋体"/>
                <w:color w:val="auto"/>
                <w:sz w:val="22"/>
                <w:szCs w:val="22"/>
                <w:lang w:val="en-US" w:eastAsia="zh-CN"/>
              </w:rPr>
              <w:t>/</w:t>
            </w:r>
          </w:p>
        </w:tc>
        <w:tc>
          <w:tcPr>
            <w:tcW w:w="1356" w:type="dxa"/>
            <w:vAlign w:val="center"/>
          </w:tcPr>
          <w:p w14:paraId="4AD8F8FC">
            <w:pPr>
              <w:adjustRightInd w:val="0"/>
              <w:snapToGrid w:val="0"/>
              <w:jc w:val="center"/>
              <w:rPr>
                <w:rFonts w:hint="default" w:ascii="宋体" w:hAnsi="宋体" w:eastAsia="宋体" w:cs="宋体"/>
                <w:color w:val="auto"/>
                <w:sz w:val="22"/>
                <w:szCs w:val="22"/>
                <w:lang w:val="en-US" w:eastAsia="zh-CN"/>
              </w:rPr>
            </w:pPr>
            <w:r>
              <w:rPr>
                <w:rFonts w:hint="eastAsia" w:ascii="宋体" w:hAnsi="宋体" w:cs="宋体"/>
                <w:color w:val="auto"/>
                <w:sz w:val="22"/>
                <w:szCs w:val="22"/>
                <w:lang w:val="en-US" w:eastAsia="zh-CN"/>
              </w:rPr>
              <w:t>/</w:t>
            </w:r>
          </w:p>
        </w:tc>
      </w:tr>
      <w:tr w14:paraId="1080C5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824" w:type="dxa"/>
            <w:vAlign w:val="center"/>
          </w:tcPr>
          <w:p w14:paraId="5870919B">
            <w:pPr>
              <w:adjustRightInd w:val="0"/>
              <w:snapToGrid w:val="0"/>
              <w:jc w:val="center"/>
              <w:rPr>
                <w:rFonts w:hint="eastAsia" w:ascii="宋体" w:hAnsi="宋体" w:cs="宋体"/>
                <w:color w:val="auto"/>
                <w:sz w:val="22"/>
                <w:szCs w:val="22"/>
                <w:lang w:eastAsia="zh-CN"/>
              </w:rPr>
            </w:pPr>
            <w:r>
              <w:rPr>
                <w:rFonts w:hint="eastAsia" w:ascii="宋体" w:hAnsi="宋体" w:cs="宋体"/>
                <w:color w:val="auto"/>
                <w:sz w:val="22"/>
                <w:szCs w:val="22"/>
                <w:lang w:eastAsia="zh-CN"/>
              </w:rPr>
              <w:t>固体废物</w:t>
            </w:r>
          </w:p>
        </w:tc>
        <w:tc>
          <w:tcPr>
            <w:tcW w:w="2880" w:type="dxa"/>
            <w:vAlign w:val="center"/>
          </w:tcPr>
          <w:p w14:paraId="3A294404">
            <w:pPr>
              <w:adjustRightInd w:val="0"/>
              <w:snapToGrid w:val="0"/>
              <w:jc w:val="center"/>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1.工程弃渣优先用于场地平整，余方运至指定消纳场。</w:t>
            </w:r>
          </w:p>
          <w:p w14:paraId="369D0E12">
            <w:pPr>
              <w:adjustRightInd w:val="0"/>
              <w:snapToGrid w:val="0"/>
              <w:jc w:val="center"/>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2.顶管废弃泥浆固化后泥饼外运至指定消纳场。</w:t>
            </w:r>
          </w:p>
          <w:p w14:paraId="048CC0B9">
            <w:pPr>
              <w:adjustRightInd w:val="0"/>
              <w:snapToGrid w:val="0"/>
              <w:jc w:val="center"/>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3.采用干式清淤、密闭运输、脱水后交由市政部门统一处置。</w:t>
            </w:r>
          </w:p>
          <w:p w14:paraId="57167C05">
            <w:pPr>
              <w:adjustRightInd w:val="0"/>
              <w:snapToGrid w:val="0"/>
              <w:jc w:val="center"/>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4.建筑垃圾可回收部分回收，其余运至消纳场。</w:t>
            </w:r>
          </w:p>
          <w:p w14:paraId="0DA24509">
            <w:pPr>
              <w:adjustRightInd w:val="0"/>
              <w:snapToGrid w:val="0"/>
              <w:jc w:val="center"/>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5.生活垃圾集中收集，由环卫部门每日清运。</w:t>
            </w:r>
          </w:p>
        </w:tc>
        <w:tc>
          <w:tcPr>
            <w:tcW w:w="2070" w:type="dxa"/>
            <w:vAlign w:val="center"/>
          </w:tcPr>
          <w:p w14:paraId="501BC053">
            <w:pPr>
              <w:adjustRightInd w:val="0"/>
              <w:snapToGrid w:val="0"/>
              <w:jc w:val="center"/>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弃土、建筑垃圾、生活垃圾、清淤淤泥、废弃泥饼均按措施要求妥善处置，无乱丢乱弃现象。</w:t>
            </w:r>
          </w:p>
        </w:tc>
        <w:tc>
          <w:tcPr>
            <w:tcW w:w="1670" w:type="dxa"/>
            <w:vAlign w:val="center"/>
          </w:tcPr>
          <w:p w14:paraId="33E9CD63">
            <w:pPr>
              <w:adjustRightInd w:val="0"/>
              <w:snapToGrid w:val="0"/>
              <w:jc w:val="center"/>
              <w:rPr>
                <w:rFonts w:hint="eastAsia" w:ascii="宋体" w:hAnsi="宋体" w:cs="宋体"/>
                <w:color w:val="auto"/>
                <w:sz w:val="22"/>
                <w:szCs w:val="22"/>
                <w:lang w:val="en-US" w:eastAsia="zh-CN"/>
              </w:rPr>
            </w:pPr>
            <w:r>
              <w:rPr>
                <w:rFonts w:hint="eastAsia" w:ascii="宋体" w:hAnsi="宋体" w:cs="宋体"/>
                <w:color w:val="auto"/>
                <w:sz w:val="22"/>
                <w:szCs w:val="22"/>
                <w:lang w:val="en-US" w:eastAsia="zh-CN"/>
              </w:rPr>
              <w:t>1.栅渣定期清理，密闭收集后交由环卫部门清运处置。</w:t>
            </w:r>
          </w:p>
          <w:p w14:paraId="299558F9">
            <w:pPr>
              <w:adjustRightInd w:val="0"/>
              <w:snapToGrid w:val="0"/>
              <w:jc w:val="center"/>
              <w:rPr>
                <w:rFonts w:hint="default" w:ascii="宋体" w:hAnsi="宋体" w:eastAsia="宋体" w:cs="宋体"/>
                <w:color w:val="auto"/>
                <w:sz w:val="22"/>
                <w:szCs w:val="22"/>
                <w:lang w:val="en-US" w:eastAsia="zh-CN"/>
              </w:rPr>
            </w:pPr>
            <w:r>
              <w:rPr>
                <w:rFonts w:hint="eastAsia" w:ascii="宋体" w:hAnsi="宋体" w:cs="宋体"/>
                <w:color w:val="auto"/>
                <w:sz w:val="22"/>
                <w:szCs w:val="22"/>
                <w:lang w:val="en-US" w:eastAsia="zh-CN"/>
              </w:rPr>
              <w:t>2.设备维护产生的废机油、含油抹布等危险废物，由维护单位及时清理并交由有资质单位处置，不在现场存放。</w:t>
            </w:r>
          </w:p>
        </w:tc>
        <w:tc>
          <w:tcPr>
            <w:tcW w:w="1356" w:type="dxa"/>
            <w:vAlign w:val="center"/>
          </w:tcPr>
          <w:p w14:paraId="3C29722D">
            <w:pPr>
              <w:adjustRightInd w:val="0"/>
              <w:snapToGrid w:val="0"/>
              <w:jc w:val="center"/>
              <w:rPr>
                <w:rFonts w:hint="default" w:ascii="宋体" w:hAnsi="宋体" w:eastAsia="宋体" w:cs="宋体"/>
                <w:color w:val="auto"/>
                <w:sz w:val="22"/>
                <w:szCs w:val="22"/>
                <w:lang w:val="en-US" w:eastAsia="zh-CN"/>
              </w:rPr>
            </w:pPr>
            <w:r>
              <w:rPr>
                <w:rFonts w:hint="eastAsia" w:ascii="宋体" w:hAnsi="宋体" w:cs="宋体"/>
                <w:color w:val="auto"/>
                <w:sz w:val="22"/>
                <w:szCs w:val="22"/>
                <w:lang w:val="en-US" w:eastAsia="zh-CN"/>
              </w:rPr>
              <w:t>建立固体废物管理台账，留存栅渣清运记录及危险废物委托处置合同、转移联单，措施落实到位。</w:t>
            </w:r>
          </w:p>
        </w:tc>
      </w:tr>
      <w:tr w14:paraId="73BED30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824" w:type="dxa"/>
            <w:vAlign w:val="center"/>
          </w:tcPr>
          <w:p w14:paraId="46D47143">
            <w:pPr>
              <w:adjustRightInd w:val="0"/>
              <w:snapToGrid w:val="0"/>
              <w:jc w:val="center"/>
              <w:rPr>
                <w:rFonts w:hint="eastAsia" w:ascii="宋体" w:hAnsi="宋体" w:cs="宋体"/>
                <w:color w:val="auto"/>
                <w:sz w:val="22"/>
                <w:szCs w:val="22"/>
                <w:lang w:eastAsia="zh-CN"/>
              </w:rPr>
            </w:pPr>
            <w:r>
              <w:rPr>
                <w:rFonts w:hint="eastAsia" w:ascii="宋体" w:hAnsi="宋体" w:cs="宋体"/>
                <w:color w:val="auto"/>
                <w:sz w:val="22"/>
                <w:szCs w:val="22"/>
                <w:lang w:eastAsia="zh-CN"/>
              </w:rPr>
              <w:t>电磁环境</w:t>
            </w:r>
          </w:p>
        </w:tc>
        <w:tc>
          <w:tcPr>
            <w:tcW w:w="2880" w:type="dxa"/>
            <w:vAlign w:val="center"/>
          </w:tcPr>
          <w:p w14:paraId="16833C4B">
            <w:pPr>
              <w:adjustRightInd w:val="0"/>
              <w:snapToGrid w:val="0"/>
              <w:jc w:val="center"/>
              <w:rPr>
                <w:rFonts w:hint="default" w:ascii="宋体" w:hAnsi="宋体" w:eastAsia="宋体" w:cs="宋体"/>
                <w:color w:val="auto"/>
                <w:sz w:val="22"/>
                <w:szCs w:val="22"/>
                <w:lang w:val="en-US" w:eastAsia="zh-CN"/>
              </w:rPr>
            </w:pPr>
            <w:r>
              <w:rPr>
                <w:rFonts w:hint="eastAsia" w:ascii="宋体" w:hAnsi="宋体" w:cs="宋体"/>
                <w:color w:val="auto"/>
                <w:sz w:val="22"/>
                <w:szCs w:val="22"/>
                <w:lang w:val="en-US" w:eastAsia="zh-CN"/>
              </w:rPr>
              <w:t>/</w:t>
            </w:r>
          </w:p>
        </w:tc>
        <w:tc>
          <w:tcPr>
            <w:tcW w:w="2070" w:type="dxa"/>
            <w:vAlign w:val="center"/>
          </w:tcPr>
          <w:p w14:paraId="71304230">
            <w:pPr>
              <w:adjustRightInd w:val="0"/>
              <w:snapToGrid w:val="0"/>
              <w:jc w:val="center"/>
              <w:rPr>
                <w:rFonts w:hint="default" w:ascii="宋体" w:hAnsi="宋体" w:eastAsia="宋体" w:cs="宋体"/>
                <w:color w:val="auto"/>
                <w:sz w:val="22"/>
                <w:szCs w:val="22"/>
                <w:lang w:val="en-US" w:eastAsia="zh-CN"/>
              </w:rPr>
            </w:pPr>
            <w:r>
              <w:rPr>
                <w:rFonts w:hint="eastAsia" w:ascii="宋体" w:hAnsi="宋体" w:cs="宋体"/>
                <w:color w:val="auto"/>
                <w:sz w:val="22"/>
                <w:szCs w:val="22"/>
                <w:lang w:val="en-US" w:eastAsia="zh-CN"/>
              </w:rPr>
              <w:t>/</w:t>
            </w:r>
          </w:p>
        </w:tc>
        <w:tc>
          <w:tcPr>
            <w:tcW w:w="1670" w:type="dxa"/>
            <w:vAlign w:val="center"/>
          </w:tcPr>
          <w:p w14:paraId="473395D9">
            <w:pPr>
              <w:adjustRightInd w:val="0"/>
              <w:snapToGrid w:val="0"/>
              <w:jc w:val="center"/>
              <w:rPr>
                <w:rFonts w:hint="default" w:ascii="宋体" w:hAnsi="宋体" w:eastAsia="宋体" w:cs="宋体"/>
                <w:color w:val="auto"/>
                <w:sz w:val="22"/>
                <w:szCs w:val="22"/>
                <w:lang w:val="en-US" w:eastAsia="zh-CN"/>
              </w:rPr>
            </w:pPr>
            <w:r>
              <w:rPr>
                <w:rFonts w:hint="eastAsia" w:ascii="宋体" w:hAnsi="宋体" w:cs="宋体"/>
                <w:color w:val="auto"/>
                <w:sz w:val="22"/>
                <w:szCs w:val="22"/>
                <w:lang w:val="en-US" w:eastAsia="zh-CN"/>
              </w:rPr>
              <w:t>/</w:t>
            </w:r>
          </w:p>
        </w:tc>
        <w:tc>
          <w:tcPr>
            <w:tcW w:w="1356" w:type="dxa"/>
            <w:vAlign w:val="center"/>
          </w:tcPr>
          <w:p w14:paraId="2670EB31">
            <w:pPr>
              <w:adjustRightInd w:val="0"/>
              <w:snapToGrid w:val="0"/>
              <w:jc w:val="center"/>
              <w:rPr>
                <w:rFonts w:hint="default" w:ascii="宋体" w:hAnsi="宋体" w:eastAsia="宋体" w:cs="宋体"/>
                <w:color w:val="auto"/>
                <w:sz w:val="22"/>
                <w:szCs w:val="22"/>
                <w:lang w:val="en-US" w:eastAsia="zh-CN"/>
              </w:rPr>
            </w:pPr>
            <w:r>
              <w:rPr>
                <w:rFonts w:hint="eastAsia" w:ascii="宋体" w:hAnsi="宋体" w:cs="宋体"/>
                <w:color w:val="auto"/>
                <w:sz w:val="22"/>
                <w:szCs w:val="22"/>
                <w:lang w:val="en-US" w:eastAsia="zh-CN"/>
              </w:rPr>
              <w:t>/</w:t>
            </w:r>
          </w:p>
        </w:tc>
      </w:tr>
      <w:tr w14:paraId="5359DA6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824" w:type="dxa"/>
            <w:vAlign w:val="center"/>
          </w:tcPr>
          <w:p w14:paraId="1F089941">
            <w:pPr>
              <w:adjustRightInd w:val="0"/>
              <w:snapToGrid w:val="0"/>
              <w:jc w:val="center"/>
              <w:rPr>
                <w:rFonts w:hint="eastAsia" w:ascii="宋体" w:hAnsi="宋体" w:cs="宋体"/>
                <w:color w:val="auto"/>
                <w:sz w:val="22"/>
                <w:szCs w:val="22"/>
                <w:lang w:eastAsia="zh-CN"/>
              </w:rPr>
            </w:pPr>
            <w:r>
              <w:rPr>
                <w:rFonts w:hint="eastAsia" w:ascii="宋体" w:hAnsi="宋体" w:cs="宋体"/>
                <w:color w:val="auto"/>
                <w:sz w:val="22"/>
                <w:szCs w:val="22"/>
                <w:lang w:eastAsia="zh-CN"/>
              </w:rPr>
              <w:t>环境风险</w:t>
            </w:r>
          </w:p>
        </w:tc>
        <w:tc>
          <w:tcPr>
            <w:tcW w:w="2880" w:type="dxa"/>
            <w:vAlign w:val="center"/>
          </w:tcPr>
          <w:p w14:paraId="0CD4E6EE">
            <w:pPr>
              <w:adjustRightInd w:val="0"/>
              <w:snapToGrid w:val="0"/>
              <w:jc w:val="center"/>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1.泥浆池底部及四壁采取防渗处理（HDPE土工膜），设置围堰。</w:t>
            </w:r>
          </w:p>
          <w:p w14:paraId="541699C9">
            <w:pPr>
              <w:adjustRightInd w:val="0"/>
              <w:snapToGrid w:val="0"/>
              <w:jc w:val="center"/>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2.施工现场不大量储存油料，加强机械维护，防止跑冒滴漏，配备吸油毡等应急物资。</w:t>
            </w:r>
          </w:p>
          <w:p w14:paraId="235B92A5">
            <w:pPr>
              <w:adjustRightInd w:val="0"/>
              <w:snapToGrid w:val="0"/>
              <w:jc w:val="center"/>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3.避开雨季进行大规模管沟开挖，编制汛期施工应急预案。</w:t>
            </w:r>
          </w:p>
        </w:tc>
        <w:tc>
          <w:tcPr>
            <w:tcW w:w="2070" w:type="dxa"/>
            <w:vAlign w:val="center"/>
          </w:tcPr>
          <w:p w14:paraId="3A8C9F8D">
            <w:pPr>
              <w:adjustRightInd w:val="0"/>
              <w:snapToGrid w:val="0"/>
              <w:jc w:val="center"/>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落实了施工期环境风险防范措施，编制了应急预案并配置了应急设备，未发生环境风险事故。</w:t>
            </w:r>
          </w:p>
        </w:tc>
        <w:tc>
          <w:tcPr>
            <w:tcW w:w="1670" w:type="dxa"/>
            <w:vAlign w:val="center"/>
          </w:tcPr>
          <w:p w14:paraId="4762E826">
            <w:pPr>
              <w:adjustRightInd w:val="0"/>
              <w:snapToGrid w:val="0"/>
              <w:jc w:val="center"/>
              <w:rPr>
                <w:rFonts w:hint="eastAsia" w:ascii="宋体" w:hAnsi="宋体" w:cs="宋体"/>
                <w:color w:val="auto"/>
                <w:sz w:val="22"/>
                <w:szCs w:val="22"/>
                <w:lang w:val="en-US" w:eastAsia="zh-CN"/>
              </w:rPr>
            </w:pPr>
            <w:r>
              <w:rPr>
                <w:rFonts w:hint="eastAsia" w:ascii="宋体" w:hAnsi="宋体" w:cs="宋体"/>
                <w:color w:val="auto"/>
                <w:sz w:val="22"/>
                <w:szCs w:val="22"/>
                <w:lang w:val="en-US" w:eastAsia="zh-CN"/>
              </w:rPr>
              <w:t>1.建立管道巡查制度，定期进行CCTV检测。</w:t>
            </w:r>
          </w:p>
          <w:p w14:paraId="3C3FB339">
            <w:pPr>
              <w:adjustRightInd w:val="0"/>
              <w:snapToGrid w:val="0"/>
              <w:jc w:val="center"/>
              <w:rPr>
                <w:rFonts w:hint="eastAsia" w:ascii="宋体" w:hAnsi="宋体" w:cs="宋体"/>
                <w:color w:val="auto"/>
                <w:sz w:val="22"/>
                <w:szCs w:val="22"/>
                <w:lang w:val="en-US" w:eastAsia="zh-CN"/>
              </w:rPr>
            </w:pPr>
            <w:r>
              <w:rPr>
                <w:rFonts w:hint="eastAsia" w:ascii="宋体" w:hAnsi="宋体" w:cs="宋体"/>
                <w:color w:val="auto"/>
                <w:sz w:val="22"/>
                <w:szCs w:val="22"/>
                <w:lang w:val="en-US" w:eastAsia="zh-CN"/>
              </w:rPr>
              <w:t>2.泵站设置双回路供电或备用发电机，关键设备一用一备。</w:t>
            </w:r>
          </w:p>
          <w:p w14:paraId="59E1019D">
            <w:pPr>
              <w:adjustRightInd w:val="0"/>
              <w:snapToGrid w:val="0"/>
              <w:jc w:val="center"/>
              <w:rPr>
                <w:rFonts w:hint="default" w:ascii="宋体" w:hAnsi="宋体" w:eastAsia="宋体" w:cs="宋体"/>
                <w:color w:val="auto"/>
                <w:sz w:val="22"/>
                <w:szCs w:val="22"/>
                <w:lang w:val="en-US" w:eastAsia="zh-CN"/>
              </w:rPr>
            </w:pPr>
            <w:r>
              <w:rPr>
                <w:rFonts w:hint="eastAsia" w:ascii="宋体" w:hAnsi="宋体" w:cs="宋体"/>
                <w:color w:val="auto"/>
                <w:sz w:val="22"/>
                <w:szCs w:val="22"/>
                <w:lang w:val="en-US" w:eastAsia="zh-CN"/>
              </w:rPr>
              <w:t>3.给水管道建立分区压力监测系统，与市政单位建立联动机制。</w:t>
            </w:r>
          </w:p>
        </w:tc>
        <w:tc>
          <w:tcPr>
            <w:tcW w:w="1356" w:type="dxa"/>
            <w:vAlign w:val="center"/>
          </w:tcPr>
          <w:p w14:paraId="0F334C82">
            <w:pPr>
              <w:adjustRightInd w:val="0"/>
              <w:snapToGrid w:val="0"/>
              <w:jc w:val="center"/>
              <w:rPr>
                <w:rFonts w:hint="default" w:ascii="宋体" w:hAnsi="宋体" w:eastAsia="宋体" w:cs="宋体"/>
                <w:color w:val="auto"/>
                <w:sz w:val="22"/>
                <w:szCs w:val="22"/>
                <w:lang w:val="en-US" w:eastAsia="zh-CN"/>
              </w:rPr>
            </w:pPr>
            <w:r>
              <w:rPr>
                <w:rFonts w:hint="eastAsia" w:ascii="宋体" w:hAnsi="宋体" w:cs="宋体"/>
                <w:color w:val="auto"/>
                <w:sz w:val="22"/>
                <w:szCs w:val="22"/>
                <w:lang w:val="en-US" w:eastAsia="zh-CN"/>
              </w:rPr>
              <w:t>运营期环境风险防控制度健全，设施完好，记录齐全。</w:t>
            </w:r>
          </w:p>
        </w:tc>
      </w:tr>
      <w:tr w14:paraId="00D7742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824" w:type="dxa"/>
            <w:vAlign w:val="center"/>
          </w:tcPr>
          <w:p w14:paraId="2018A7D7">
            <w:pPr>
              <w:adjustRightInd w:val="0"/>
              <w:snapToGrid w:val="0"/>
              <w:jc w:val="center"/>
              <w:rPr>
                <w:rFonts w:hint="eastAsia" w:ascii="宋体" w:hAnsi="宋体" w:cs="宋体"/>
                <w:color w:val="auto"/>
                <w:sz w:val="22"/>
                <w:szCs w:val="22"/>
                <w:lang w:eastAsia="zh-CN"/>
              </w:rPr>
            </w:pPr>
            <w:r>
              <w:rPr>
                <w:rFonts w:hint="eastAsia" w:ascii="宋体" w:hAnsi="宋体" w:cs="宋体"/>
                <w:color w:val="auto"/>
                <w:sz w:val="22"/>
                <w:szCs w:val="22"/>
                <w:lang w:eastAsia="zh-CN"/>
              </w:rPr>
              <w:t>环境监测</w:t>
            </w:r>
          </w:p>
        </w:tc>
        <w:tc>
          <w:tcPr>
            <w:tcW w:w="2880" w:type="dxa"/>
            <w:vAlign w:val="center"/>
          </w:tcPr>
          <w:p w14:paraId="11A77DBD">
            <w:pPr>
              <w:adjustRightInd w:val="0"/>
              <w:snapToGrid w:val="0"/>
              <w:jc w:val="center"/>
              <w:rPr>
                <w:rFonts w:hint="eastAsia" w:ascii="宋体" w:hAnsi="宋体" w:cs="宋体"/>
                <w:color w:val="auto"/>
                <w:sz w:val="22"/>
                <w:szCs w:val="22"/>
                <w:lang w:val="en-US" w:eastAsia="zh-CN"/>
              </w:rPr>
            </w:pPr>
            <w:r>
              <w:rPr>
                <w:rFonts w:hint="eastAsia" w:ascii="宋体" w:hAnsi="宋体" w:cs="宋体"/>
                <w:color w:val="auto"/>
                <w:sz w:val="22"/>
                <w:szCs w:val="22"/>
                <w:lang w:val="en-US" w:eastAsia="zh-CN"/>
              </w:rPr>
              <w:t>1.大气（TSP）：施工高峰期每月1次，在最近敏感点监测。</w:t>
            </w:r>
          </w:p>
          <w:p w14:paraId="7EBE28CC">
            <w:pPr>
              <w:adjustRightInd w:val="0"/>
              <w:snapToGrid w:val="0"/>
              <w:jc w:val="center"/>
              <w:rPr>
                <w:rFonts w:hint="eastAsia" w:ascii="宋体" w:hAnsi="宋体" w:cs="宋体"/>
                <w:color w:val="auto"/>
                <w:sz w:val="22"/>
                <w:szCs w:val="22"/>
                <w:lang w:val="en-US" w:eastAsia="zh-CN"/>
              </w:rPr>
            </w:pPr>
            <w:r>
              <w:rPr>
                <w:rFonts w:hint="eastAsia" w:ascii="宋体" w:hAnsi="宋体" w:cs="宋体"/>
                <w:color w:val="auto"/>
                <w:sz w:val="22"/>
                <w:szCs w:val="22"/>
                <w:lang w:val="en-US" w:eastAsia="zh-CN"/>
              </w:rPr>
              <w:t>2.噪声（Leq）：施工高峰期每月1次，在施工场界及周边敏感点监测。</w:t>
            </w:r>
          </w:p>
          <w:p w14:paraId="63CCB20E">
            <w:pPr>
              <w:adjustRightInd w:val="0"/>
              <w:snapToGrid w:val="0"/>
              <w:jc w:val="center"/>
              <w:rPr>
                <w:rFonts w:hint="default" w:ascii="宋体" w:hAnsi="宋体" w:eastAsia="宋体" w:cs="宋体"/>
                <w:color w:val="auto"/>
                <w:sz w:val="22"/>
                <w:szCs w:val="22"/>
                <w:lang w:val="en-US" w:eastAsia="zh-CN"/>
              </w:rPr>
            </w:pPr>
            <w:r>
              <w:rPr>
                <w:rFonts w:hint="eastAsia" w:ascii="宋体" w:hAnsi="宋体" w:cs="宋体"/>
                <w:color w:val="auto"/>
                <w:sz w:val="22"/>
                <w:szCs w:val="22"/>
                <w:lang w:val="en-US" w:eastAsia="zh-CN"/>
              </w:rPr>
              <w:t>3.地表水（pH、SS、COD、石油类）：涉水施工期间每月1次，在王家河雨水排口上下游监测。</w:t>
            </w:r>
          </w:p>
        </w:tc>
        <w:tc>
          <w:tcPr>
            <w:tcW w:w="2070" w:type="dxa"/>
            <w:vAlign w:val="center"/>
          </w:tcPr>
          <w:p w14:paraId="0F92B6B2">
            <w:pPr>
              <w:adjustRightInd w:val="0"/>
              <w:snapToGrid w:val="0"/>
              <w:jc w:val="center"/>
              <w:rPr>
                <w:rFonts w:hint="default" w:ascii="宋体" w:hAnsi="宋体" w:eastAsia="宋体" w:cs="宋体"/>
                <w:color w:val="auto"/>
                <w:sz w:val="22"/>
                <w:szCs w:val="22"/>
                <w:lang w:val="en-US" w:eastAsia="zh-CN"/>
              </w:rPr>
            </w:pPr>
            <w:r>
              <w:rPr>
                <w:rFonts w:hint="eastAsia" w:ascii="宋体" w:hAnsi="宋体" w:cs="宋体"/>
                <w:color w:val="auto"/>
                <w:sz w:val="22"/>
                <w:szCs w:val="22"/>
                <w:lang w:val="en-US" w:eastAsia="zh-CN"/>
              </w:rPr>
              <w:t>按要求开展了施工期环境监测，监测报告存档备查，监测结果如有超标已及时整改。</w:t>
            </w:r>
          </w:p>
        </w:tc>
        <w:tc>
          <w:tcPr>
            <w:tcW w:w="1670" w:type="dxa"/>
            <w:vAlign w:val="center"/>
          </w:tcPr>
          <w:p w14:paraId="7EE231FA">
            <w:pPr>
              <w:adjustRightInd w:val="0"/>
              <w:snapToGrid w:val="0"/>
              <w:jc w:val="center"/>
              <w:rPr>
                <w:rFonts w:hint="default" w:ascii="宋体" w:hAnsi="宋体" w:eastAsia="宋体" w:cs="宋体"/>
                <w:color w:val="auto"/>
                <w:sz w:val="22"/>
                <w:szCs w:val="22"/>
                <w:lang w:val="en-US" w:eastAsia="zh-CN"/>
              </w:rPr>
            </w:pPr>
            <w:r>
              <w:rPr>
                <w:rFonts w:hint="eastAsia" w:ascii="宋体" w:hAnsi="宋体" w:cs="宋体"/>
                <w:color w:val="auto"/>
                <w:sz w:val="22"/>
                <w:szCs w:val="22"/>
                <w:lang w:val="en-US" w:eastAsia="zh-CN"/>
              </w:rPr>
              <w:t>噪声（Leq）：每年1次，在泵站厂界及最近敏感点（乌江村居民点）监测。</w:t>
            </w:r>
          </w:p>
        </w:tc>
        <w:tc>
          <w:tcPr>
            <w:tcW w:w="1356" w:type="dxa"/>
            <w:vAlign w:val="center"/>
          </w:tcPr>
          <w:p w14:paraId="71ED070D">
            <w:pPr>
              <w:adjustRightInd w:val="0"/>
              <w:snapToGrid w:val="0"/>
              <w:jc w:val="center"/>
              <w:rPr>
                <w:rFonts w:hint="default" w:ascii="宋体" w:hAnsi="宋体" w:eastAsia="宋体" w:cs="宋体"/>
                <w:color w:val="auto"/>
                <w:sz w:val="22"/>
                <w:szCs w:val="22"/>
                <w:lang w:val="en-US" w:eastAsia="zh-CN"/>
              </w:rPr>
            </w:pPr>
            <w:r>
              <w:rPr>
                <w:rFonts w:hint="eastAsia" w:ascii="宋体" w:hAnsi="宋体" w:cs="宋体"/>
                <w:color w:val="auto"/>
                <w:sz w:val="22"/>
                <w:szCs w:val="22"/>
                <w:lang w:val="en-US" w:eastAsia="zh-CN"/>
              </w:rPr>
              <w:t>按要求开展了运营期环境监测，监测报告存档备查，监测结果达标。</w:t>
            </w:r>
          </w:p>
        </w:tc>
      </w:tr>
      <w:tr w14:paraId="7869CF2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824" w:type="dxa"/>
            <w:vAlign w:val="center"/>
          </w:tcPr>
          <w:p w14:paraId="2228E37B">
            <w:pPr>
              <w:adjustRightInd w:val="0"/>
              <w:snapToGrid w:val="0"/>
              <w:jc w:val="center"/>
              <w:rPr>
                <w:rFonts w:hint="eastAsia" w:ascii="宋体" w:hAnsi="宋体" w:cs="宋体"/>
                <w:color w:val="auto"/>
                <w:sz w:val="22"/>
                <w:szCs w:val="22"/>
                <w:lang w:eastAsia="zh-CN"/>
              </w:rPr>
            </w:pPr>
            <w:r>
              <w:rPr>
                <w:rFonts w:hint="eastAsia" w:ascii="宋体" w:hAnsi="宋体" w:cs="宋体"/>
                <w:color w:val="auto"/>
                <w:sz w:val="22"/>
                <w:szCs w:val="22"/>
                <w:lang w:eastAsia="zh-CN"/>
              </w:rPr>
              <w:t>其他</w:t>
            </w:r>
          </w:p>
        </w:tc>
        <w:tc>
          <w:tcPr>
            <w:tcW w:w="2880" w:type="dxa"/>
            <w:vAlign w:val="center"/>
          </w:tcPr>
          <w:p w14:paraId="4C66E48F">
            <w:pPr>
              <w:adjustRightInd w:val="0"/>
              <w:snapToGrid w:val="0"/>
              <w:jc w:val="center"/>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加强环境管理、监理；加强水土保持验收管理等措施</w:t>
            </w:r>
          </w:p>
        </w:tc>
        <w:tc>
          <w:tcPr>
            <w:tcW w:w="2070" w:type="dxa"/>
            <w:vAlign w:val="center"/>
          </w:tcPr>
          <w:p w14:paraId="30A837A9">
            <w:pPr>
              <w:adjustRightInd w:val="0"/>
              <w:snapToGrid w:val="0"/>
              <w:jc w:val="center"/>
              <w:rPr>
                <w:rFonts w:hint="eastAsia" w:ascii="宋体" w:hAnsi="宋体" w:eastAsia="宋体" w:cs="宋体"/>
                <w:color w:val="auto"/>
                <w:sz w:val="22"/>
                <w:szCs w:val="22"/>
                <w:lang w:val="en-US" w:eastAsia="zh-CN"/>
              </w:rPr>
            </w:pPr>
            <w:r>
              <w:rPr>
                <w:rFonts w:hint="eastAsia" w:ascii="宋体" w:hAnsi="宋体" w:eastAsia="宋体" w:cs="宋体"/>
                <w:color w:val="auto"/>
                <w:sz w:val="22"/>
                <w:szCs w:val="22"/>
                <w:lang w:val="en-US" w:eastAsia="zh-CN"/>
              </w:rPr>
              <w:t>环境监理报告、水土保持验收报告齐全，环保“三同时”制度落实。</w:t>
            </w:r>
          </w:p>
        </w:tc>
        <w:tc>
          <w:tcPr>
            <w:tcW w:w="1670" w:type="dxa"/>
            <w:vAlign w:val="center"/>
          </w:tcPr>
          <w:p w14:paraId="5A207795">
            <w:pPr>
              <w:adjustRightInd w:val="0"/>
              <w:snapToGrid w:val="0"/>
              <w:jc w:val="center"/>
              <w:rPr>
                <w:rFonts w:hint="default" w:ascii="宋体" w:hAnsi="宋体" w:eastAsia="宋体" w:cs="宋体"/>
                <w:color w:val="auto"/>
                <w:sz w:val="22"/>
                <w:szCs w:val="22"/>
                <w:lang w:val="en-US" w:eastAsia="zh-CN"/>
              </w:rPr>
            </w:pPr>
            <w:r>
              <w:rPr>
                <w:rFonts w:hint="eastAsia" w:ascii="宋体" w:hAnsi="宋体" w:cs="宋体"/>
                <w:color w:val="auto"/>
                <w:sz w:val="22"/>
                <w:szCs w:val="22"/>
                <w:lang w:val="en-US" w:eastAsia="zh-CN"/>
              </w:rPr>
              <w:t>/</w:t>
            </w:r>
          </w:p>
        </w:tc>
        <w:tc>
          <w:tcPr>
            <w:tcW w:w="1356" w:type="dxa"/>
            <w:vAlign w:val="center"/>
          </w:tcPr>
          <w:p w14:paraId="0BCE7E41">
            <w:pPr>
              <w:adjustRightInd w:val="0"/>
              <w:snapToGrid w:val="0"/>
              <w:jc w:val="center"/>
              <w:rPr>
                <w:rFonts w:hint="default" w:ascii="宋体" w:hAnsi="宋体" w:eastAsia="宋体" w:cs="宋体"/>
                <w:color w:val="auto"/>
                <w:sz w:val="22"/>
                <w:szCs w:val="22"/>
                <w:lang w:val="en-US" w:eastAsia="zh-CN"/>
              </w:rPr>
            </w:pPr>
            <w:r>
              <w:rPr>
                <w:rFonts w:hint="eastAsia" w:ascii="宋体" w:hAnsi="宋体" w:cs="宋体"/>
                <w:color w:val="auto"/>
                <w:sz w:val="22"/>
                <w:szCs w:val="22"/>
                <w:lang w:val="en-US" w:eastAsia="zh-CN"/>
              </w:rPr>
              <w:t>/</w:t>
            </w:r>
          </w:p>
        </w:tc>
      </w:tr>
    </w:tbl>
    <w:p w14:paraId="2501036F">
      <w:pPr>
        <w:bidi w:val="0"/>
        <w:rPr>
          <w:rFonts w:hint="eastAsia"/>
          <w:color w:val="FF0000"/>
        </w:rPr>
      </w:pPr>
    </w:p>
    <w:p w14:paraId="0BEFD047">
      <w:pPr>
        <w:bidi w:val="0"/>
        <w:rPr>
          <w:rFonts w:hint="eastAsia"/>
          <w:color w:val="FF0000"/>
        </w:rPr>
      </w:pPr>
    </w:p>
    <w:p w14:paraId="5602C24C">
      <w:pPr>
        <w:bidi w:val="0"/>
        <w:rPr>
          <w:rFonts w:hint="eastAsia"/>
          <w:color w:val="FF0000"/>
        </w:rPr>
      </w:pPr>
    </w:p>
    <w:p w14:paraId="6BD200E5">
      <w:pPr>
        <w:keepNext w:val="0"/>
        <w:keepLines w:val="0"/>
        <w:pageBreakBefore w:val="0"/>
        <w:widowControl/>
        <w:numPr>
          <w:ilvl w:val="0"/>
          <w:numId w:val="0"/>
        </w:numPr>
        <w:kinsoku/>
        <w:wordWrap/>
        <w:overflowPunct/>
        <w:topLinePunct w:val="0"/>
        <w:autoSpaceDE/>
        <w:autoSpaceDN/>
        <w:bidi w:val="0"/>
        <w:adjustRightInd/>
        <w:snapToGrid/>
        <w:spacing w:before="0" w:beforeAutospacing="0" w:after="0" w:afterAutospacing="0"/>
        <w:jc w:val="center"/>
        <w:textAlignment w:val="auto"/>
        <w:outlineLvl w:val="0"/>
        <w:rPr>
          <w:rFonts w:hint="eastAsia" w:ascii="黑体" w:hAnsi="黑体" w:eastAsia="黑体"/>
          <w:snapToGrid w:val="0"/>
          <w:color w:val="FF0000"/>
          <w:sz w:val="30"/>
          <w:szCs w:val="30"/>
        </w:rPr>
        <w:sectPr>
          <w:pgSz w:w="11906" w:h="16838"/>
          <w:pgMar w:top="1701" w:right="1531" w:bottom="1701" w:left="1531" w:header="1361" w:footer="1417" w:gutter="0"/>
          <w:pgBorders>
            <w:top w:val="none" w:sz="0" w:space="0"/>
            <w:left w:val="none" w:sz="0" w:space="0"/>
            <w:bottom w:val="none" w:sz="0" w:space="0"/>
            <w:right w:val="none" w:sz="0" w:space="0"/>
          </w:pgBorders>
          <w:cols w:space="720" w:num="1"/>
          <w:docGrid w:linePitch="312" w:charSpace="0"/>
        </w:sectPr>
      </w:pPr>
    </w:p>
    <w:p w14:paraId="5035B516">
      <w:pPr>
        <w:keepNext w:val="0"/>
        <w:keepLines w:val="0"/>
        <w:pageBreakBefore w:val="0"/>
        <w:widowControl/>
        <w:numPr>
          <w:ilvl w:val="0"/>
          <w:numId w:val="1"/>
        </w:numPr>
        <w:kinsoku/>
        <w:wordWrap/>
        <w:overflowPunct/>
        <w:topLinePunct w:val="0"/>
        <w:autoSpaceDE/>
        <w:autoSpaceDN/>
        <w:bidi w:val="0"/>
        <w:adjustRightInd/>
        <w:snapToGrid/>
        <w:spacing w:before="0" w:beforeAutospacing="0" w:after="0" w:afterAutospacing="0"/>
        <w:ind w:left="0" w:leftChars="0" w:firstLine="0" w:firstLineChars="0"/>
        <w:jc w:val="center"/>
        <w:textAlignment w:val="auto"/>
        <w:outlineLvl w:val="0"/>
        <w:rPr>
          <w:rFonts w:hint="eastAsia" w:ascii="黑体" w:hAnsi="黑体" w:eastAsia="黑体"/>
          <w:snapToGrid w:val="0"/>
          <w:color w:val="auto"/>
          <w:sz w:val="30"/>
          <w:szCs w:val="30"/>
          <w:lang w:eastAsia="zh-CN"/>
        </w:rPr>
      </w:pPr>
      <w:r>
        <w:rPr>
          <w:rFonts w:hint="eastAsia" w:ascii="黑体" w:hAnsi="黑体" w:eastAsia="黑体"/>
          <w:snapToGrid w:val="0"/>
          <w:color w:val="auto"/>
          <w:sz w:val="30"/>
          <w:szCs w:val="30"/>
          <w:lang w:eastAsia="zh-CN"/>
        </w:rPr>
        <w:t>结论</w:t>
      </w:r>
    </w:p>
    <w:tbl>
      <w:tblPr>
        <w:tblStyle w:val="9"/>
        <w:tblW w:w="8865"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865"/>
      </w:tblGrid>
      <w:tr w14:paraId="19D3CCF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8865" w:type="dxa"/>
            <w:vAlign w:val="center"/>
          </w:tcPr>
          <w:p w14:paraId="69E4F2D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auto"/>
                <w:sz w:val="24"/>
                <w:szCs w:val="24"/>
                <w:lang w:eastAsia="zh-CN"/>
              </w:rPr>
            </w:pPr>
            <w:r>
              <w:rPr>
                <w:rFonts w:hint="eastAsia" w:ascii="宋体" w:hAnsi="宋体" w:eastAsia="宋体" w:cs="宋体"/>
                <w:b w:val="0"/>
                <w:bCs w:val="0"/>
                <w:color w:val="auto"/>
                <w:sz w:val="24"/>
                <w:szCs w:val="24"/>
                <w:lang w:eastAsia="zh-CN"/>
              </w:rPr>
              <w:t>本项目符合国家产业政策及相关规划、“三线一单”管控要求，选址选线合理。项目按规定无需设置专项评价，施工期与运营期各项生态环境保护措施可行，环境风险可控，对区域生态环境、水环境、大气环境、声环境影响可接受。从生态环境保护角度分析，本项目建设可行。</w:t>
            </w:r>
          </w:p>
          <w:p w14:paraId="4C79634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auto"/>
                <w:sz w:val="24"/>
                <w:szCs w:val="24"/>
                <w:lang w:eastAsia="zh-CN"/>
              </w:rPr>
            </w:pPr>
          </w:p>
          <w:p w14:paraId="4CC086C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FF0000"/>
                <w:sz w:val="24"/>
                <w:szCs w:val="24"/>
                <w:lang w:eastAsia="zh-CN"/>
              </w:rPr>
            </w:pPr>
          </w:p>
          <w:p w14:paraId="0B26197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FF0000"/>
                <w:sz w:val="24"/>
                <w:szCs w:val="24"/>
                <w:lang w:eastAsia="zh-CN"/>
              </w:rPr>
            </w:pPr>
          </w:p>
          <w:p w14:paraId="17979AF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FF0000"/>
                <w:sz w:val="24"/>
                <w:szCs w:val="24"/>
                <w:lang w:eastAsia="zh-CN"/>
              </w:rPr>
            </w:pPr>
          </w:p>
          <w:p w14:paraId="3648BB9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FF0000"/>
                <w:sz w:val="24"/>
                <w:szCs w:val="24"/>
                <w:lang w:eastAsia="zh-CN"/>
              </w:rPr>
            </w:pPr>
          </w:p>
          <w:p w14:paraId="0B4F29D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FF0000"/>
                <w:sz w:val="24"/>
                <w:szCs w:val="24"/>
                <w:lang w:eastAsia="zh-CN"/>
              </w:rPr>
            </w:pPr>
          </w:p>
          <w:p w14:paraId="5B540F3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FF0000"/>
                <w:sz w:val="24"/>
                <w:szCs w:val="24"/>
                <w:lang w:eastAsia="zh-CN"/>
              </w:rPr>
            </w:pPr>
          </w:p>
          <w:p w14:paraId="2DAA7CD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FF0000"/>
                <w:sz w:val="24"/>
                <w:szCs w:val="24"/>
                <w:lang w:eastAsia="zh-CN"/>
              </w:rPr>
            </w:pPr>
          </w:p>
          <w:p w14:paraId="7FA8990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FF0000"/>
                <w:sz w:val="24"/>
                <w:szCs w:val="24"/>
                <w:lang w:eastAsia="zh-CN"/>
              </w:rPr>
            </w:pPr>
          </w:p>
          <w:p w14:paraId="16DC14A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FF0000"/>
                <w:sz w:val="24"/>
                <w:szCs w:val="24"/>
                <w:lang w:eastAsia="zh-CN"/>
              </w:rPr>
            </w:pPr>
          </w:p>
          <w:p w14:paraId="5130C9B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FF0000"/>
                <w:sz w:val="24"/>
                <w:szCs w:val="24"/>
                <w:lang w:eastAsia="zh-CN"/>
              </w:rPr>
            </w:pPr>
          </w:p>
          <w:p w14:paraId="68E4B96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FF0000"/>
                <w:sz w:val="24"/>
                <w:szCs w:val="24"/>
                <w:lang w:eastAsia="zh-CN"/>
              </w:rPr>
            </w:pPr>
          </w:p>
          <w:p w14:paraId="3848158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FF0000"/>
                <w:sz w:val="24"/>
                <w:szCs w:val="24"/>
                <w:lang w:eastAsia="zh-CN"/>
              </w:rPr>
            </w:pPr>
          </w:p>
          <w:p w14:paraId="5E8D7EF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FF0000"/>
                <w:sz w:val="24"/>
                <w:szCs w:val="24"/>
                <w:lang w:eastAsia="zh-CN"/>
              </w:rPr>
            </w:pPr>
          </w:p>
          <w:p w14:paraId="4332B9B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FF0000"/>
                <w:sz w:val="24"/>
                <w:szCs w:val="24"/>
                <w:lang w:eastAsia="zh-CN"/>
              </w:rPr>
            </w:pPr>
          </w:p>
          <w:p w14:paraId="415E29F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FF0000"/>
                <w:sz w:val="24"/>
                <w:szCs w:val="24"/>
                <w:lang w:eastAsia="zh-CN"/>
              </w:rPr>
            </w:pPr>
          </w:p>
          <w:p w14:paraId="47B5CFE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FF0000"/>
                <w:sz w:val="24"/>
                <w:szCs w:val="24"/>
                <w:lang w:eastAsia="zh-CN"/>
              </w:rPr>
            </w:pPr>
          </w:p>
          <w:p w14:paraId="633CA7E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FF0000"/>
                <w:sz w:val="24"/>
                <w:szCs w:val="24"/>
                <w:lang w:eastAsia="zh-CN"/>
              </w:rPr>
            </w:pPr>
          </w:p>
          <w:p w14:paraId="4C66FAB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FF0000"/>
                <w:sz w:val="24"/>
                <w:szCs w:val="24"/>
                <w:lang w:eastAsia="zh-CN"/>
              </w:rPr>
            </w:pPr>
          </w:p>
          <w:p w14:paraId="3F71D24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FF0000"/>
                <w:sz w:val="24"/>
                <w:szCs w:val="24"/>
                <w:lang w:eastAsia="zh-CN"/>
              </w:rPr>
            </w:pPr>
          </w:p>
          <w:p w14:paraId="0A9A6D5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FF0000"/>
                <w:sz w:val="24"/>
                <w:szCs w:val="24"/>
                <w:lang w:eastAsia="zh-CN"/>
              </w:rPr>
            </w:pPr>
          </w:p>
          <w:p w14:paraId="0026C1A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b w:val="0"/>
                <w:bCs w:val="0"/>
                <w:color w:val="FF0000"/>
                <w:sz w:val="24"/>
                <w:szCs w:val="24"/>
                <w:lang w:eastAsia="zh-CN"/>
              </w:rPr>
            </w:pPr>
          </w:p>
          <w:p w14:paraId="531C76A9">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ascii="宋体" w:cs="宋体"/>
                <w:color w:val="FF0000"/>
                <w:sz w:val="24"/>
              </w:rPr>
            </w:pPr>
          </w:p>
        </w:tc>
      </w:tr>
    </w:tbl>
    <w:p w14:paraId="06715777">
      <w:pPr>
        <w:rPr>
          <w:rFonts w:hint="eastAsia"/>
          <w:color w:val="FF0000"/>
        </w:rPr>
        <w:sectPr>
          <w:footerReference r:id="rId7" w:type="default"/>
          <w:pgSz w:w="11906" w:h="16838"/>
          <w:pgMar w:top="1701" w:right="1531" w:bottom="1701" w:left="1531" w:header="1361" w:footer="1361" w:gutter="0"/>
          <w:pgBorders>
            <w:top w:val="none" w:sz="0" w:space="0"/>
            <w:left w:val="none" w:sz="0" w:space="0"/>
            <w:bottom w:val="none" w:sz="0" w:space="0"/>
            <w:right w:val="none" w:sz="0" w:space="0"/>
          </w:pgBorders>
          <w:cols w:space="720" w:num="1"/>
          <w:rtlGutter w:val="0"/>
          <w:docGrid w:linePitch="312" w:charSpace="0"/>
        </w:sectPr>
      </w:pPr>
    </w:p>
    <w:p w14:paraId="2761C820">
      <w:pPr>
        <w:rPr>
          <w:rFonts w:hint="eastAsia"/>
          <w:color w:val="FF0000"/>
        </w:rPr>
      </w:pPr>
    </w:p>
    <w:p w14:paraId="6D6F5025">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outlineLvl w:val="0"/>
        <w:rPr>
          <w:rFonts w:hint="eastAsia" w:ascii="宋体" w:hAnsi="宋体" w:cs="宋体"/>
          <w:b/>
          <w:bCs/>
          <w:color w:val="auto"/>
          <w:sz w:val="24"/>
          <w:szCs w:val="24"/>
          <w:lang w:val="en-US" w:eastAsia="zh-CN"/>
        </w:rPr>
      </w:pPr>
      <w:bookmarkStart w:id="12" w:name="_Toc7305"/>
      <w:r>
        <w:rPr>
          <w:rFonts w:hint="eastAsia" w:ascii="宋体" w:hAnsi="宋体" w:cs="宋体"/>
          <w:b/>
          <w:bCs/>
          <w:color w:val="auto"/>
          <w:sz w:val="24"/>
          <w:szCs w:val="24"/>
          <w:lang w:val="en-US" w:eastAsia="zh-CN"/>
        </w:rPr>
        <w:t>附图和附件</w:t>
      </w:r>
      <w:bookmarkEnd w:id="12"/>
    </w:p>
    <w:p w14:paraId="1CB821B5">
      <w:pPr>
        <w:rPr>
          <w:rFonts w:hint="eastAsia"/>
          <w:color w:val="FF0000"/>
        </w:rPr>
      </w:pPr>
    </w:p>
    <w:p w14:paraId="553BB08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outlineLvl w:val="9"/>
        <w:rPr>
          <w:rFonts w:hint="eastAsia" w:ascii="宋体" w:hAnsi="宋体" w:cs="宋体"/>
          <w:color w:val="auto"/>
          <w:sz w:val="24"/>
          <w:szCs w:val="24"/>
        </w:rPr>
      </w:pPr>
      <w:bookmarkStart w:id="13" w:name="_Toc5279"/>
      <w:bookmarkStart w:id="14" w:name="_Toc31694"/>
      <w:r>
        <w:rPr>
          <w:rFonts w:hint="eastAsia" w:ascii="宋体" w:hAnsi="宋体" w:cs="宋体"/>
          <w:color w:val="auto"/>
          <w:sz w:val="24"/>
          <w:szCs w:val="24"/>
        </w:rPr>
        <w:t>附件1   委托书</w:t>
      </w:r>
      <w:bookmarkEnd w:id="13"/>
      <w:bookmarkEnd w:id="14"/>
    </w:p>
    <w:p w14:paraId="794683F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outlineLvl w:val="9"/>
        <w:rPr>
          <w:rFonts w:hint="eastAsia" w:ascii="宋体" w:hAnsi="宋体" w:eastAsia="宋体" w:cs="宋体"/>
          <w:color w:val="auto"/>
          <w:sz w:val="24"/>
          <w:szCs w:val="24"/>
          <w:lang w:eastAsia="zh-CN"/>
        </w:rPr>
      </w:pPr>
      <w:bookmarkStart w:id="15" w:name="_Toc24686"/>
      <w:bookmarkStart w:id="16" w:name="_Toc30981"/>
      <w:r>
        <w:rPr>
          <w:rFonts w:hint="eastAsia" w:ascii="宋体" w:hAnsi="宋体" w:cs="宋体"/>
          <w:color w:val="auto"/>
          <w:sz w:val="24"/>
          <w:szCs w:val="24"/>
        </w:rPr>
        <w:t xml:space="preserve">附件2   </w:t>
      </w:r>
      <w:bookmarkEnd w:id="15"/>
      <w:bookmarkEnd w:id="16"/>
      <w:r>
        <w:rPr>
          <w:rFonts w:hint="eastAsia" w:ascii="宋体" w:hAnsi="宋体" w:cs="宋体"/>
          <w:color w:val="auto"/>
          <w:sz w:val="24"/>
          <w:szCs w:val="24"/>
        </w:rPr>
        <w:t>营业执照、法人身份证</w:t>
      </w:r>
    </w:p>
    <w:p w14:paraId="2E640FC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outlineLvl w:val="9"/>
        <w:rPr>
          <w:rFonts w:hint="eastAsia" w:ascii="宋体" w:hAnsi="宋体" w:cs="宋体"/>
          <w:color w:val="auto"/>
          <w:sz w:val="24"/>
          <w:szCs w:val="24"/>
        </w:rPr>
      </w:pPr>
      <w:bookmarkStart w:id="17" w:name="_Toc20413"/>
      <w:bookmarkStart w:id="18" w:name="_Toc5121"/>
      <w:r>
        <w:rPr>
          <w:rFonts w:hint="eastAsia" w:ascii="宋体" w:hAnsi="宋体" w:cs="宋体"/>
          <w:color w:val="auto"/>
          <w:sz w:val="24"/>
          <w:szCs w:val="24"/>
        </w:rPr>
        <w:t xml:space="preserve">附件3   </w:t>
      </w:r>
      <w:bookmarkEnd w:id="17"/>
      <w:bookmarkEnd w:id="18"/>
      <w:r>
        <w:rPr>
          <w:rFonts w:hint="eastAsia" w:ascii="宋体" w:hAnsi="宋体" w:cs="宋体"/>
          <w:color w:val="auto"/>
          <w:sz w:val="24"/>
          <w:szCs w:val="24"/>
        </w:rPr>
        <w:t>立项备案证</w:t>
      </w:r>
    </w:p>
    <w:p w14:paraId="6682CD9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outlineLvl w:val="9"/>
        <w:rPr>
          <w:rFonts w:hint="default" w:ascii="宋体" w:hAnsi="宋体" w:eastAsia="宋体" w:cs="宋体"/>
          <w:color w:val="auto"/>
          <w:sz w:val="24"/>
          <w:szCs w:val="24"/>
          <w:lang w:val="en-US" w:eastAsia="zh-CN"/>
        </w:rPr>
      </w:pPr>
      <w:bookmarkStart w:id="19" w:name="_Toc16456"/>
      <w:bookmarkStart w:id="20" w:name="_Toc8219"/>
      <w:r>
        <w:rPr>
          <w:rFonts w:hint="eastAsia" w:ascii="宋体" w:hAnsi="宋体" w:cs="宋体"/>
          <w:color w:val="auto"/>
          <w:sz w:val="24"/>
          <w:szCs w:val="24"/>
        </w:rPr>
        <w:t xml:space="preserve">附件4   </w:t>
      </w:r>
      <w:bookmarkEnd w:id="19"/>
      <w:bookmarkEnd w:id="20"/>
      <w:r>
        <w:rPr>
          <w:rFonts w:hint="eastAsia" w:ascii="宋体" w:hAnsi="宋体" w:cs="宋体"/>
          <w:color w:val="auto"/>
          <w:sz w:val="24"/>
          <w:szCs w:val="24"/>
          <w:lang w:val="en-US" w:eastAsia="zh-CN"/>
        </w:rPr>
        <w:t>项目不新增占地证明</w:t>
      </w:r>
    </w:p>
    <w:p w14:paraId="2DD430C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outlineLvl w:val="9"/>
        <w:rPr>
          <w:rFonts w:hint="default" w:ascii="宋体" w:hAnsi="宋体" w:eastAsia="宋体" w:cs="宋体"/>
          <w:color w:val="auto"/>
          <w:sz w:val="24"/>
          <w:szCs w:val="24"/>
          <w:lang w:val="en-US" w:eastAsia="zh-CN"/>
        </w:rPr>
      </w:pPr>
      <w:r>
        <w:rPr>
          <w:rFonts w:hint="eastAsia" w:ascii="宋体" w:hAnsi="宋体" w:cs="宋体"/>
          <w:color w:val="auto"/>
          <w:sz w:val="24"/>
          <w:szCs w:val="24"/>
          <w:lang w:val="en-US" w:eastAsia="zh-CN"/>
        </w:rPr>
        <w:t>附件5   饮用</w:t>
      </w:r>
      <w:r>
        <w:rPr>
          <w:rFonts w:hint="eastAsia" w:ascii="宋体" w:hAnsi="宋体" w:cs="宋体"/>
          <w:color w:val="auto"/>
          <w:sz w:val="24"/>
          <w:szCs w:val="24"/>
          <w:lang w:eastAsia="zh-CN"/>
        </w:rPr>
        <w:t>水源地</w:t>
      </w:r>
      <w:r>
        <w:rPr>
          <w:rFonts w:hint="eastAsia" w:ascii="宋体" w:hAnsi="宋体" w:cs="宋体"/>
          <w:color w:val="auto"/>
          <w:sz w:val="24"/>
          <w:szCs w:val="24"/>
          <w:lang w:val="en-US" w:eastAsia="zh-CN"/>
        </w:rPr>
        <w:t>撤销文件</w:t>
      </w:r>
    </w:p>
    <w:p w14:paraId="0E8DAE9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outlineLvl w:val="9"/>
        <w:rPr>
          <w:rFonts w:hint="eastAsia" w:ascii="宋体" w:hAnsi="宋体" w:cs="宋体"/>
          <w:color w:val="auto"/>
          <w:sz w:val="24"/>
          <w:szCs w:val="24"/>
        </w:rPr>
      </w:pPr>
      <w:bookmarkStart w:id="21" w:name="_Toc25110"/>
      <w:bookmarkStart w:id="22" w:name="_Toc29953"/>
      <w:r>
        <w:rPr>
          <w:rFonts w:hint="eastAsia" w:ascii="宋体" w:hAnsi="宋体" w:cs="宋体"/>
          <w:color w:val="auto"/>
          <w:sz w:val="24"/>
          <w:szCs w:val="24"/>
        </w:rPr>
        <w:t>附件</w:t>
      </w:r>
      <w:r>
        <w:rPr>
          <w:rFonts w:hint="eastAsia" w:ascii="宋体" w:hAnsi="宋体" w:cs="宋体"/>
          <w:color w:val="auto"/>
          <w:sz w:val="24"/>
          <w:szCs w:val="24"/>
          <w:lang w:val="en-US" w:eastAsia="zh-CN"/>
        </w:rPr>
        <w:t>6</w:t>
      </w:r>
      <w:r>
        <w:rPr>
          <w:rFonts w:hint="eastAsia" w:ascii="宋体" w:hAnsi="宋体" w:cs="宋体"/>
          <w:color w:val="auto"/>
          <w:sz w:val="24"/>
          <w:szCs w:val="24"/>
        </w:rPr>
        <w:t xml:space="preserve">   </w:t>
      </w:r>
      <w:bookmarkEnd w:id="21"/>
      <w:bookmarkEnd w:id="22"/>
      <w:r>
        <w:rPr>
          <w:rFonts w:hint="eastAsia" w:ascii="宋体" w:hAnsi="宋体" w:cs="宋体"/>
          <w:color w:val="auto"/>
          <w:sz w:val="24"/>
          <w:szCs w:val="24"/>
          <w:lang w:val="en-US" w:eastAsia="zh-CN"/>
        </w:rPr>
        <w:t>监测报告</w:t>
      </w:r>
    </w:p>
    <w:p w14:paraId="0EAA3D8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outlineLvl w:val="9"/>
        <w:rPr>
          <w:rFonts w:hint="default" w:ascii="宋体" w:hAnsi="宋体" w:eastAsia="宋体" w:cs="宋体"/>
          <w:color w:val="auto"/>
          <w:sz w:val="24"/>
          <w:szCs w:val="24"/>
          <w:lang w:val="en-US" w:eastAsia="zh-CN"/>
        </w:rPr>
      </w:pPr>
      <w:r>
        <w:rPr>
          <w:rFonts w:hint="eastAsia" w:ascii="宋体" w:hAnsi="宋体" w:cs="宋体"/>
          <w:color w:val="auto"/>
          <w:sz w:val="24"/>
          <w:szCs w:val="24"/>
          <w:lang w:val="en-US" w:eastAsia="zh-CN"/>
        </w:rPr>
        <w:t>附件7   关于湿地的证明</w:t>
      </w:r>
    </w:p>
    <w:p w14:paraId="42A6376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outlineLvl w:val="9"/>
        <w:rPr>
          <w:rFonts w:hint="eastAsia" w:ascii="宋体" w:hAnsi="宋体" w:cs="宋体"/>
          <w:color w:val="auto"/>
          <w:sz w:val="24"/>
          <w:szCs w:val="24"/>
          <w:lang w:val="en-US" w:eastAsia="zh-CN"/>
        </w:rPr>
      </w:pPr>
    </w:p>
    <w:p w14:paraId="60BC6F6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outlineLvl w:val="9"/>
        <w:rPr>
          <w:rFonts w:hint="eastAsia" w:ascii="宋体" w:hAnsi="宋体" w:eastAsia="宋体" w:cs="宋体"/>
          <w:color w:val="FF0000"/>
          <w:sz w:val="24"/>
          <w:szCs w:val="24"/>
          <w:lang w:eastAsia="zh-CN"/>
        </w:rPr>
      </w:pPr>
    </w:p>
    <w:p w14:paraId="4DD8C8D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outlineLvl w:val="9"/>
        <w:rPr>
          <w:rFonts w:hint="eastAsia" w:ascii="宋体" w:hAnsi="宋体" w:cs="宋体"/>
          <w:color w:val="FF0000"/>
          <w:sz w:val="24"/>
          <w:szCs w:val="24"/>
          <w:lang w:val="en-US" w:eastAsia="zh-CN"/>
        </w:rPr>
      </w:pPr>
    </w:p>
    <w:p w14:paraId="05DD64F8">
      <w:pPr>
        <w:rPr>
          <w:color w:val="FF0000"/>
        </w:rPr>
      </w:pPr>
    </w:p>
    <w:p w14:paraId="16A8153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outlineLvl w:val="9"/>
        <w:rPr>
          <w:rFonts w:hint="eastAsia" w:ascii="宋体" w:hAnsi="宋体" w:eastAsia="宋体" w:cs="宋体"/>
          <w:color w:val="auto"/>
          <w:sz w:val="24"/>
          <w:szCs w:val="24"/>
          <w:lang w:eastAsia="zh-CN"/>
        </w:rPr>
      </w:pPr>
      <w:bookmarkStart w:id="23" w:name="_Toc25959"/>
      <w:bookmarkStart w:id="24" w:name="_Toc21830"/>
      <w:r>
        <w:rPr>
          <w:rFonts w:hint="eastAsia" w:ascii="宋体" w:hAnsi="宋体" w:cs="宋体"/>
          <w:color w:val="auto"/>
          <w:sz w:val="24"/>
          <w:szCs w:val="24"/>
        </w:rPr>
        <w:t>附图1</w:t>
      </w:r>
      <w:r>
        <w:rPr>
          <w:rFonts w:hint="eastAsia" w:ascii="宋体" w:hAnsi="宋体" w:cs="宋体"/>
          <w:color w:val="auto"/>
          <w:sz w:val="24"/>
          <w:szCs w:val="24"/>
          <w:lang w:val="en-US" w:eastAsia="zh-CN"/>
        </w:rPr>
        <w:t xml:space="preserve">  </w:t>
      </w:r>
      <w:r>
        <w:rPr>
          <w:rFonts w:hint="eastAsia" w:ascii="宋体" w:hAnsi="宋体" w:cs="宋体"/>
          <w:color w:val="auto"/>
          <w:sz w:val="24"/>
          <w:szCs w:val="24"/>
        </w:rPr>
        <w:t xml:space="preserve"> </w:t>
      </w:r>
      <w:r>
        <w:rPr>
          <w:rFonts w:hint="eastAsia" w:ascii="宋体" w:hAnsi="宋体" w:cs="宋体"/>
          <w:color w:val="auto"/>
          <w:sz w:val="24"/>
          <w:szCs w:val="24"/>
          <w:lang w:val="en-US" w:eastAsia="zh-CN"/>
        </w:rPr>
        <w:t xml:space="preserve"> </w:t>
      </w:r>
      <w:r>
        <w:rPr>
          <w:rFonts w:hint="eastAsia" w:ascii="宋体" w:hAnsi="宋体" w:cs="宋体"/>
          <w:color w:val="auto"/>
          <w:sz w:val="24"/>
          <w:szCs w:val="24"/>
        </w:rPr>
        <w:t>项目地理位置图</w:t>
      </w:r>
      <w:bookmarkEnd w:id="23"/>
      <w:bookmarkEnd w:id="24"/>
    </w:p>
    <w:p w14:paraId="4801426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outlineLvl w:val="9"/>
        <w:rPr>
          <w:rFonts w:hint="eastAsia" w:ascii="宋体" w:hAnsi="宋体" w:cs="宋体"/>
          <w:color w:val="auto"/>
          <w:sz w:val="24"/>
          <w:szCs w:val="24"/>
          <w:lang w:val="en-US" w:eastAsia="zh-CN"/>
        </w:rPr>
      </w:pPr>
      <w:r>
        <w:rPr>
          <w:rFonts w:hint="eastAsia" w:ascii="宋体" w:hAnsi="宋体" w:cs="宋体"/>
          <w:color w:val="auto"/>
          <w:sz w:val="24"/>
          <w:szCs w:val="24"/>
          <w:lang w:eastAsia="zh-CN"/>
        </w:rPr>
        <w:t>附图</w:t>
      </w:r>
      <w:r>
        <w:rPr>
          <w:rFonts w:hint="eastAsia" w:ascii="宋体" w:hAnsi="宋体" w:cs="宋体"/>
          <w:color w:val="auto"/>
          <w:sz w:val="24"/>
          <w:szCs w:val="24"/>
          <w:lang w:val="en-US" w:eastAsia="zh-CN"/>
        </w:rPr>
        <w:t>2    项目与国土空间规划关系图</w:t>
      </w:r>
    </w:p>
    <w:p w14:paraId="5DB66BD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outlineLvl w:val="9"/>
        <w:rPr>
          <w:rFonts w:hint="eastAsia" w:ascii="宋体" w:hAnsi="宋体" w:cs="宋体"/>
          <w:color w:val="auto"/>
          <w:sz w:val="24"/>
          <w:szCs w:val="24"/>
          <w:lang w:eastAsia="zh-CN"/>
        </w:rPr>
      </w:pPr>
      <w:r>
        <w:rPr>
          <w:rFonts w:hint="eastAsia" w:ascii="宋体" w:hAnsi="宋体" w:cs="宋体"/>
          <w:color w:val="auto"/>
          <w:sz w:val="24"/>
          <w:szCs w:val="24"/>
          <w:lang w:eastAsia="zh-CN"/>
        </w:rPr>
        <w:t>附图</w:t>
      </w:r>
      <w:r>
        <w:rPr>
          <w:rFonts w:hint="eastAsia" w:ascii="宋体" w:hAnsi="宋体" w:cs="宋体"/>
          <w:color w:val="auto"/>
          <w:sz w:val="24"/>
          <w:szCs w:val="24"/>
          <w:lang w:val="en-US" w:eastAsia="zh-CN"/>
        </w:rPr>
        <w:t xml:space="preserve">3    </w:t>
      </w:r>
      <w:r>
        <w:rPr>
          <w:rFonts w:hint="eastAsia" w:ascii="宋体" w:hAnsi="宋体" w:cs="宋体"/>
          <w:color w:val="auto"/>
          <w:sz w:val="24"/>
          <w:szCs w:val="24"/>
        </w:rPr>
        <w:t>项目</w:t>
      </w:r>
      <w:r>
        <w:rPr>
          <w:rFonts w:hint="eastAsia" w:ascii="宋体" w:hAnsi="宋体" w:cs="宋体"/>
          <w:color w:val="auto"/>
          <w:sz w:val="24"/>
          <w:szCs w:val="24"/>
          <w:lang w:eastAsia="zh-CN"/>
        </w:rPr>
        <w:t>与自然保护区地理位置关系图</w:t>
      </w:r>
    </w:p>
    <w:p w14:paraId="3639B2B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outlineLvl w:val="9"/>
        <w:rPr>
          <w:rFonts w:hint="eastAsia" w:ascii="宋体" w:hAnsi="宋体" w:cs="宋体"/>
          <w:color w:val="auto"/>
          <w:sz w:val="24"/>
          <w:szCs w:val="24"/>
        </w:rPr>
      </w:pPr>
      <w:bookmarkStart w:id="25" w:name="_Toc15458"/>
      <w:bookmarkStart w:id="26" w:name="_Toc19727"/>
      <w:bookmarkStart w:id="27" w:name="_Toc10822"/>
      <w:bookmarkStart w:id="28" w:name="_Toc10375"/>
      <w:r>
        <w:rPr>
          <w:rFonts w:hint="eastAsia" w:ascii="宋体" w:hAnsi="宋体" w:cs="宋体"/>
          <w:color w:val="auto"/>
          <w:sz w:val="24"/>
          <w:szCs w:val="24"/>
        </w:rPr>
        <w:t>附图</w:t>
      </w:r>
      <w:r>
        <w:rPr>
          <w:rFonts w:hint="eastAsia" w:ascii="宋体" w:hAnsi="宋体" w:cs="宋体"/>
          <w:color w:val="auto"/>
          <w:sz w:val="24"/>
          <w:szCs w:val="24"/>
          <w:lang w:val="en-US" w:eastAsia="zh-CN"/>
        </w:rPr>
        <w:t>4</w:t>
      </w:r>
      <w:r>
        <w:rPr>
          <w:rFonts w:hint="eastAsia" w:ascii="宋体" w:hAnsi="宋体" w:cs="宋体"/>
          <w:color w:val="auto"/>
          <w:sz w:val="24"/>
          <w:szCs w:val="24"/>
        </w:rPr>
        <w:t xml:space="preserve"> </w:t>
      </w:r>
      <w:r>
        <w:rPr>
          <w:rFonts w:hint="eastAsia" w:ascii="宋体" w:hAnsi="宋体" w:cs="宋体"/>
          <w:color w:val="auto"/>
          <w:sz w:val="24"/>
          <w:szCs w:val="24"/>
          <w:lang w:val="en-US" w:eastAsia="zh-CN"/>
        </w:rPr>
        <w:t xml:space="preserve">   </w:t>
      </w:r>
      <w:bookmarkEnd w:id="25"/>
      <w:bookmarkEnd w:id="26"/>
      <w:r>
        <w:rPr>
          <w:rFonts w:hint="eastAsia" w:ascii="宋体" w:hAnsi="宋体" w:cs="宋体"/>
          <w:color w:val="auto"/>
          <w:sz w:val="24"/>
          <w:szCs w:val="24"/>
          <w:lang w:val="en-US" w:eastAsia="zh-CN"/>
        </w:rPr>
        <w:t>项目平面图</w:t>
      </w:r>
    </w:p>
    <w:bookmarkEnd w:id="27"/>
    <w:bookmarkEnd w:id="28"/>
    <w:p w14:paraId="1AE24B3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outlineLvl w:val="9"/>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附图5    项目环保目标分布图</w:t>
      </w:r>
    </w:p>
    <w:p w14:paraId="3E616E7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outlineLvl w:val="9"/>
        <w:rPr>
          <w:rFonts w:hint="default" w:ascii="宋体" w:hAnsi="宋体" w:cs="宋体"/>
          <w:color w:val="auto"/>
          <w:sz w:val="24"/>
          <w:szCs w:val="24"/>
          <w:lang w:val="en-US" w:eastAsia="zh-CN"/>
        </w:rPr>
      </w:pPr>
      <w:r>
        <w:rPr>
          <w:rFonts w:hint="default" w:ascii="宋体" w:hAnsi="宋体" w:cs="宋体"/>
          <w:color w:val="auto"/>
          <w:sz w:val="24"/>
          <w:szCs w:val="24"/>
          <w:lang w:val="en-US" w:eastAsia="zh-CN"/>
        </w:rPr>
        <w:t>附图</w:t>
      </w:r>
      <w:r>
        <w:rPr>
          <w:rFonts w:hint="eastAsia" w:ascii="宋体" w:hAnsi="宋体" w:cs="宋体"/>
          <w:color w:val="auto"/>
          <w:sz w:val="24"/>
          <w:szCs w:val="24"/>
          <w:lang w:val="en-US" w:eastAsia="zh-CN"/>
        </w:rPr>
        <w:t>6</w:t>
      </w:r>
      <w:r>
        <w:rPr>
          <w:rFonts w:hint="default" w:ascii="宋体" w:hAnsi="宋体" w:cs="宋体"/>
          <w:color w:val="auto"/>
          <w:sz w:val="24"/>
          <w:szCs w:val="24"/>
          <w:lang w:val="en-US" w:eastAsia="zh-CN"/>
        </w:rPr>
        <w:t xml:space="preserve"> </w:t>
      </w:r>
      <w:r>
        <w:rPr>
          <w:rFonts w:hint="eastAsia" w:ascii="宋体" w:hAnsi="宋体" w:cs="宋体"/>
          <w:color w:val="auto"/>
          <w:sz w:val="24"/>
          <w:szCs w:val="24"/>
          <w:lang w:val="en-US" w:eastAsia="zh-CN"/>
        </w:rPr>
        <w:t xml:space="preserve">   </w:t>
      </w:r>
      <w:r>
        <w:rPr>
          <w:rFonts w:hint="default" w:ascii="宋体" w:hAnsi="宋体" w:cs="宋体"/>
          <w:color w:val="auto"/>
          <w:sz w:val="24"/>
          <w:szCs w:val="24"/>
          <w:lang w:val="en-US" w:eastAsia="zh-CN"/>
        </w:rPr>
        <w:t>本项目与管控单元关系图</w:t>
      </w:r>
    </w:p>
    <w:p w14:paraId="1EE6A11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outlineLvl w:val="9"/>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附图7</w:t>
      </w:r>
      <w:r>
        <w:rPr>
          <w:rFonts w:hint="default" w:ascii="Times New Roman" w:hAnsi="Times New Roman" w:cs="Times New Roman"/>
          <w:color w:val="auto"/>
          <w:sz w:val="24"/>
          <w:szCs w:val="24"/>
          <w:lang w:val="en-US" w:eastAsia="zh-CN"/>
        </w:rPr>
        <w:t>~</w:t>
      </w:r>
      <w:r>
        <w:rPr>
          <w:rFonts w:hint="eastAsia" w:ascii="宋体" w:hAnsi="宋体" w:cs="宋体"/>
          <w:color w:val="auto"/>
          <w:sz w:val="24"/>
          <w:szCs w:val="24"/>
          <w:lang w:val="en-US" w:eastAsia="zh-CN"/>
        </w:rPr>
        <w:t>10  评价区生态图件（土地利用现状图、植被覆盖度图、植被类型图、生态系统图）</w:t>
      </w:r>
    </w:p>
    <w:p w14:paraId="53AC27F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outlineLvl w:val="9"/>
        <w:rPr>
          <w:rFonts w:hint="default" w:ascii="宋体" w:hAnsi="宋体" w:cs="宋体"/>
          <w:color w:val="auto"/>
          <w:sz w:val="24"/>
          <w:szCs w:val="24"/>
          <w:lang w:val="en-US" w:eastAsia="zh-CN"/>
        </w:rPr>
      </w:pPr>
    </w:p>
    <w:sectPr>
      <w:pgSz w:w="11906" w:h="16838"/>
      <w:pgMar w:top="1701" w:right="1531" w:bottom="1701" w:left="1531" w:header="1361" w:footer="1361" w:gutter="0"/>
      <w:pgBorders>
        <w:top w:val="none" w:sz="0" w:space="0"/>
        <w:left w:val="none" w:sz="0" w:space="0"/>
        <w:bottom w:val="none" w:sz="0" w:space="0"/>
        <w:right w:val="none" w:sz="0" w:space="0"/>
      </w:pgBorders>
      <w:cols w:space="720" w:num="1"/>
      <w:rtlGutter w:val="0"/>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F"/>
    <w:family w:val="auto"/>
    <w:pitch w:val="default"/>
    <w:sig w:usb0="E0002EFF" w:usb1="C000785B" w:usb2="00000009" w:usb3="00000000" w:csb0="400001FF" w:csb1="FFFF0000"/>
  </w:font>
  <w:font w:name="宋体">
    <w:panose1 w:val="02010600030101010101"/>
    <w:charset w:val="8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方正小标宋_GBK">
    <w:altName w:val="微软雅黑"/>
    <w:panose1 w:val="02000000000000000000"/>
    <w:charset w:val="86"/>
    <w:family w:val="script"/>
    <w:pitch w:val="default"/>
    <w:sig w:usb0="00000000" w:usb1="00000000" w:usb2="00082016" w:usb3="00000000" w:csb0="00040001" w:csb1="00000000"/>
  </w:font>
  <w:font w:name="微软雅黑">
    <w:panose1 w:val="020B0503020204020204"/>
    <w:charset w:val="86"/>
    <w:family w:val="auto"/>
    <w:pitch w:val="default"/>
    <w:sig w:usb0="80000287" w:usb1="2ACF3C50" w:usb2="00000016" w:usb3="00000000" w:csb0="0004001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华文仿宋">
    <w:panose1 w:val="02010600040101010101"/>
    <w:charset w:val="86"/>
    <w:family w:val="auto"/>
    <w:pitch w:val="default"/>
    <w:sig w:usb0="00000287" w:usb1="080F0000" w:usb2="00000000" w:usb3="00000000" w:csb0="0004009F" w:csb1="DFD70000"/>
  </w:font>
  <w:font w:name="Wingdings 2">
    <w:panose1 w:val="05020102010507070707"/>
    <w:charset w:val="02"/>
    <w:family w:val="auto"/>
    <w:pitch w:val="default"/>
    <w:sig w:usb0="00000000" w:usb1="00000000" w:usb2="00000000" w:usb3="00000000" w:csb0="80000000" w:csb1="00000000"/>
  </w:font>
  <w:font w:name="等线">
    <w:panose1 w:val="02010600030101010101"/>
    <w:charset w:val="86"/>
    <w:family w:val="auto"/>
    <w:pitch w:val="default"/>
    <w:sig w:usb0="A00002BF" w:usb1="38CF7CFA" w:usb2="00000016" w:usb3="00000000" w:csb0="0004000F" w:csb1="00000000"/>
  </w:font>
  <w:font w:name="var(--dsw-font-markdown-table-h">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Segoe UI">
    <w:panose1 w:val="020B0502040204020203"/>
    <w:charset w:val="00"/>
    <w:family w:val="auto"/>
    <w:pitch w:val="default"/>
    <w:sig w:usb0="E4002EFF" w:usb1="C000E47F" w:usb2="00000009" w:usb3="00000000" w:csb0="200001FF" w:csb1="00000000"/>
  </w:font>
  <w:font w:name="KSOFE44F9426">
    <w:panose1 w:val="02010609060101010101"/>
    <w:charset w:val="86"/>
    <w:family w:val="auto"/>
    <w:pitch w:val="default"/>
    <w:sig w:usb0="00000001" w:usb1="00000000" w:usb2="00000000" w:usb3="00000000" w:csb0="00040001" w:csb1="00000000"/>
  </w:font>
  <w:font w:name="KSOFE450088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FF8CB1">
    <w:pPr>
      <w:tabs>
        <w:tab w:val="center" w:pos="4153"/>
        <w:tab w:val="right" w:pos="8306"/>
      </w:tabs>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555A2F">
    <w:pPr>
      <w:framePr w:wrap="around" w:vAnchor="text" w:hAnchor="margin" w:xAlign="center" w:y="1"/>
      <w:tabs>
        <w:tab w:val="center" w:pos="4153"/>
        <w:tab w:val="right" w:pos="8306"/>
      </w:tabs>
    </w:pPr>
    <w:r>
      <w:fldChar w:fldCharType="begin"/>
    </w:r>
    <w:r>
      <w:instrText xml:space="preserve">PAGE  </w:instrText>
    </w:r>
    <w:r>
      <w:fldChar w:fldCharType="end"/>
    </w:r>
  </w:p>
  <w:p w14:paraId="08ECB0CA">
    <w:pPr>
      <w:tabs>
        <w:tab w:val="center" w:pos="4153"/>
        <w:tab w:val="right" w:pos="8306"/>
      </w:tabs>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32C9B8">
    <w:pPr>
      <w:tabs>
        <w:tab w:val="center" w:pos="4153"/>
        <w:tab w:val="right" w:pos="8306"/>
      </w:tabs>
      <w:ind w:right="36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10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D69F430">
                          <w:pPr>
                            <w:tabs>
                              <w:tab w:val="center" w:pos="4153"/>
                              <w:tab w:val="right" w:pos="8306"/>
                            </w:tabs>
                            <w:jc w:val="left"/>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wrap="none" lIns="0" tIns="0" rIns="0" bIns="0" upright="0">
                      <a:spAutoFit/>
                    </wps:bodyPr>
                  </wps:wsp>
                </a:graphicData>
              </a:graphic>
            </wp:anchor>
          </w:drawing>
        </mc:Choice>
        <mc:Fallback>
          <w:pict>
            <v:shape id="文本框 1029"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OqXm5zwAAAAUBAAAPAAAAAAAAAAEAIAAAACIAAABkcnMvZG93bnJldi54&#10;bWxQSwECFAAUAAAACACHTuJAfhWmHsoBAACcAwAADgAAAAAAAAABACAAAAAeAQAAZHJzL2Uyb0Rv&#10;Yy54bWxQSwUGAAAAAAYABgBZAQAAWgUAAAAA&#10;">
              <v:fill on="f" focussize="0,0"/>
              <v:stroke on="f"/>
              <v:imagedata o:title=""/>
              <o:lock v:ext="edit" aspectratio="f"/>
              <v:textbox inset="0mm,0mm,0mm,0mm" style="mso-fit-shape-to-text:t;">
                <w:txbxContent>
                  <w:p w14:paraId="2D69F430">
                    <w:pPr>
                      <w:tabs>
                        <w:tab w:val="center" w:pos="4153"/>
                        <w:tab w:val="right" w:pos="8306"/>
                      </w:tabs>
                      <w:jc w:val="left"/>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700333">
    <w:pPr>
      <w:keepNext w:val="0"/>
      <w:keepLines w:val="0"/>
      <w:pageBreakBefore w:val="0"/>
      <w:widowControl w:val="0"/>
      <w:tabs>
        <w:tab w:val="center" w:pos="4153"/>
        <w:tab w:val="right" w:pos="8306"/>
      </w:tabs>
      <w:kinsoku/>
      <w:wordWrap/>
      <w:overflowPunct/>
      <w:topLinePunct w:val="0"/>
      <w:bidi w:val="0"/>
      <w:adjustRightInd/>
      <w:snapToGrid/>
      <w:ind w:right="0" w:firstLine="0"/>
      <w:jc w:val="left"/>
      <w:textAlignment w:val="auto"/>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10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88298F1">
                          <w:pPr>
                            <w:tabs>
                              <w:tab w:val="center" w:pos="4153"/>
                              <w:tab w:val="right" w:pos="8306"/>
                            </w:tabs>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53</w:t>
                          </w:r>
                          <w:r>
                            <w:rPr>
                              <w:rFonts w:hint="eastAsia"/>
                              <w:lang w:eastAsia="zh-CN"/>
                            </w:rPr>
                            <w:fldChar w:fldCharType="end"/>
                          </w:r>
                        </w:p>
                      </w:txbxContent>
                    </wps:txbx>
                    <wps:bodyPr vert="horz" wrap="none" lIns="0" tIns="0" rIns="0" bIns="0" anchor="t" anchorCtr="0" upright="0">
                      <a:spAutoFit/>
                    </wps:bodyPr>
                  </wps:wsp>
                </a:graphicData>
              </a:graphic>
            </wp:anchor>
          </w:drawing>
        </mc:Choice>
        <mc:Fallback>
          <w:pict>
            <v:shape id="文本框 1028"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OqXm5zwAAAAUBAAAPAAAAAAAAAAEA&#10;IAAAACIAAABkcnMvZG93bnJldi54bWxQSwECFAAUAAAACACHTuJAxgeeGN8BAADBAwAADgAAAAAA&#10;AAABACAAAAAeAQAAZHJzL2Uyb0RvYy54bWxQSwUGAAAAAAYABgBZAQAAbwUAAAAA&#10;">
              <v:fill on="f" focussize="0,0"/>
              <v:stroke on="f"/>
              <v:imagedata o:title=""/>
              <o:lock v:ext="edit" aspectratio="f"/>
              <v:textbox inset="0mm,0mm,0mm,0mm" style="mso-fit-shape-to-text:t;">
                <w:txbxContent>
                  <w:p w14:paraId="788298F1">
                    <w:pPr>
                      <w:tabs>
                        <w:tab w:val="center" w:pos="4153"/>
                        <w:tab w:val="right" w:pos="8306"/>
                      </w:tabs>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53</w:t>
                    </w:r>
                    <w:r>
                      <w:rPr>
                        <w:rFonts w:hint="eastAsia"/>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29B355">
    <w:pPr>
      <w:pBdr>
        <w:bottom w:val="none" w:color="auto" w:sz="0" w:space="1"/>
      </w:pBdr>
      <w:tabs>
        <w:tab w:val="center" w:pos="4153"/>
        <w:tab w:val="right" w:pos="8306"/>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8517F5"/>
    <w:multiLevelType w:val="singleLevel"/>
    <w:tmpl w:val="928517F5"/>
    <w:lvl w:ilvl="0" w:tentative="0">
      <w:start w:val="5"/>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dit="trackedChanges" w:enforcement="0"/>
  <w:defaultTabStop w:val="420"/>
  <w:hyphenationZone w:val="360"/>
  <w:doNotHyphenateCaps/>
  <w:drawingGridVerticalSpacing w:val="156"/>
  <w:displayHorizontalDrawingGridEvery w:val="1"/>
  <w:displayVerticalDrawingGridEvery w:val="1"/>
  <w:noPunctuationKerning w:val="1"/>
  <w:characterSpacingControl w:val="compressPunctuation"/>
  <w:noLineBreaksAfter w:lang="zh-CN" w:val="([{·‘“〈《「『【〔〖（．［｛￡￥"/>
  <w:noLineBreaksBefore w:lang="zh-CN" w:val="!),.:;?]}¨·ˇˉ―‖’”…∶、。〃々〉》」』】〕〗！＂＇），．：；？］｀｜｝～￠"/>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ZlMDBlZTFhODBiYzg1YjQzY2I4NzcxMjk1YzZiMGEifQ=="/>
    <w:docVar w:name="KSO_WPS_MARK_KEY" w:val="6c342605-2c7c-40ff-84dd-63f98ec3ebe7"/>
  </w:docVars>
  <w:rsids>
    <w:rsidRoot w:val="00172A27"/>
    <w:rsid w:val="000060B3"/>
    <w:rsid w:val="000242FF"/>
    <w:rsid w:val="0004364B"/>
    <w:rsid w:val="00061B1F"/>
    <w:rsid w:val="000733C4"/>
    <w:rsid w:val="00074783"/>
    <w:rsid w:val="0008070B"/>
    <w:rsid w:val="000810AC"/>
    <w:rsid w:val="00081A02"/>
    <w:rsid w:val="00082231"/>
    <w:rsid w:val="000848CC"/>
    <w:rsid w:val="0009187A"/>
    <w:rsid w:val="00092D38"/>
    <w:rsid w:val="0009377B"/>
    <w:rsid w:val="000A20C9"/>
    <w:rsid w:val="000B058F"/>
    <w:rsid w:val="000B4467"/>
    <w:rsid w:val="000B4DB9"/>
    <w:rsid w:val="000C09AC"/>
    <w:rsid w:val="000C767F"/>
    <w:rsid w:val="000D5A44"/>
    <w:rsid w:val="000E078B"/>
    <w:rsid w:val="000E3ED2"/>
    <w:rsid w:val="00131F42"/>
    <w:rsid w:val="001357F1"/>
    <w:rsid w:val="00140FA8"/>
    <w:rsid w:val="00142FEB"/>
    <w:rsid w:val="00143A2D"/>
    <w:rsid w:val="00145A41"/>
    <w:rsid w:val="00151675"/>
    <w:rsid w:val="00157435"/>
    <w:rsid w:val="0016137C"/>
    <w:rsid w:val="0017504D"/>
    <w:rsid w:val="0017671A"/>
    <w:rsid w:val="00177422"/>
    <w:rsid w:val="00184590"/>
    <w:rsid w:val="001870D1"/>
    <w:rsid w:val="0018781E"/>
    <w:rsid w:val="0019262D"/>
    <w:rsid w:val="001A1B35"/>
    <w:rsid w:val="001A4716"/>
    <w:rsid w:val="001A48A2"/>
    <w:rsid w:val="001A6F61"/>
    <w:rsid w:val="001B72B8"/>
    <w:rsid w:val="001C69B3"/>
    <w:rsid w:val="001D5595"/>
    <w:rsid w:val="001D7874"/>
    <w:rsid w:val="001D7F22"/>
    <w:rsid w:val="001F0F17"/>
    <w:rsid w:val="001F3347"/>
    <w:rsid w:val="001F69E4"/>
    <w:rsid w:val="002125B4"/>
    <w:rsid w:val="00214578"/>
    <w:rsid w:val="002155B8"/>
    <w:rsid w:val="00224839"/>
    <w:rsid w:val="002249B2"/>
    <w:rsid w:val="0022599A"/>
    <w:rsid w:val="00226574"/>
    <w:rsid w:val="002278EC"/>
    <w:rsid w:val="0023280E"/>
    <w:rsid w:val="002377D1"/>
    <w:rsid w:val="002506BC"/>
    <w:rsid w:val="00254345"/>
    <w:rsid w:val="00264557"/>
    <w:rsid w:val="002805AB"/>
    <w:rsid w:val="00284204"/>
    <w:rsid w:val="00291773"/>
    <w:rsid w:val="002A168C"/>
    <w:rsid w:val="002A3DC7"/>
    <w:rsid w:val="002B49E2"/>
    <w:rsid w:val="002B7B00"/>
    <w:rsid w:val="002B7C44"/>
    <w:rsid w:val="002C2B17"/>
    <w:rsid w:val="002D3DD0"/>
    <w:rsid w:val="002E1F3A"/>
    <w:rsid w:val="002E298A"/>
    <w:rsid w:val="00301978"/>
    <w:rsid w:val="0030332C"/>
    <w:rsid w:val="003051C2"/>
    <w:rsid w:val="00312296"/>
    <w:rsid w:val="00314F0E"/>
    <w:rsid w:val="00321D8E"/>
    <w:rsid w:val="00325928"/>
    <w:rsid w:val="0033142C"/>
    <w:rsid w:val="00332863"/>
    <w:rsid w:val="0033684D"/>
    <w:rsid w:val="00337B42"/>
    <w:rsid w:val="00341B42"/>
    <w:rsid w:val="0034348F"/>
    <w:rsid w:val="00356653"/>
    <w:rsid w:val="0035743F"/>
    <w:rsid w:val="00357BE2"/>
    <w:rsid w:val="0036170C"/>
    <w:rsid w:val="00366E0F"/>
    <w:rsid w:val="0038020A"/>
    <w:rsid w:val="00381A72"/>
    <w:rsid w:val="00384676"/>
    <w:rsid w:val="00390857"/>
    <w:rsid w:val="003A4BF3"/>
    <w:rsid w:val="003B420D"/>
    <w:rsid w:val="003C6C16"/>
    <w:rsid w:val="003D794D"/>
    <w:rsid w:val="003E3058"/>
    <w:rsid w:val="003E76A9"/>
    <w:rsid w:val="003F0809"/>
    <w:rsid w:val="003F6A8C"/>
    <w:rsid w:val="003F755C"/>
    <w:rsid w:val="00406F01"/>
    <w:rsid w:val="00416D50"/>
    <w:rsid w:val="00416FD5"/>
    <w:rsid w:val="00417772"/>
    <w:rsid w:val="00420E6A"/>
    <w:rsid w:val="00425A9E"/>
    <w:rsid w:val="00426D6B"/>
    <w:rsid w:val="00431E6C"/>
    <w:rsid w:val="00433CE7"/>
    <w:rsid w:val="00452738"/>
    <w:rsid w:val="00456091"/>
    <w:rsid w:val="00466321"/>
    <w:rsid w:val="00484B9B"/>
    <w:rsid w:val="004855F6"/>
    <w:rsid w:val="0048661E"/>
    <w:rsid w:val="00494670"/>
    <w:rsid w:val="004A06F7"/>
    <w:rsid w:val="004A3823"/>
    <w:rsid w:val="004C62C6"/>
    <w:rsid w:val="004E6946"/>
    <w:rsid w:val="004F1AD8"/>
    <w:rsid w:val="005039CB"/>
    <w:rsid w:val="0050558F"/>
    <w:rsid w:val="00506286"/>
    <w:rsid w:val="00510813"/>
    <w:rsid w:val="00511990"/>
    <w:rsid w:val="00511DE0"/>
    <w:rsid w:val="00514870"/>
    <w:rsid w:val="00514B9B"/>
    <w:rsid w:val="00517F02"/>
    <w:rsid w:val="00524303"/>
    <w:rsid w:val="005258A2"/>
    <w:rsid w:val="005401AE"/>
    <w:rsid w:val="00542E07"/>
    <w:rsid w:val="00545424"/>
    <w:rsid w:val="00554A7B"/>
    <w:rsid w:val="0055572C"/>
    <w:rsid w:val="0056106A"/>
    <w:rsid w:val="005720AE"/>
    <w:rsid w:val="00594D77"/>
    <w:rsid w:val="005969E4"/>
    <w:rsid w:val="005A06B7"/>
    <w:rsid w:val="005A1759"/>
    <w:rsid w:val="005A68A7"/>
    <w:rsid w:val="005D36AB"/>
    <w:rsid w:val="005E04A9"/>
    <w:rsid w:val="00617CC3"/>
    <w:rsid w:val="006377A6"/>
    <w:rsid w:val="00637A3D"/>
    <w:rsid w:val="006411EF"/>
    <w:rsid w:val="006748B8"/>
    <w:rsid w:val="006775C3"/>
    <w:rsid w:val="0069290A"/>
    <w:rsid w:val="0069775A"/>
    <w:rsid w:val="00697813"/>
    <w:rsid w:val="006A3EE8"/>
    <w:rsid w:val="006A72BF"/>
    <w:rsid w:val="006B03F2"/>
    <w:rsid w:val="006B37DC"/>
    <w:rsid w:val="006B4F68"/>
    <w:rsid w:val="006C0592"/>
    <w:rsid w:val="006C272E"/>
    <w:rsid w:val="006C5479"/>
    <w:rsid w:val="006D13B5"/>
    <w:rsid w:val="006E12FF"/>
    <w:rsid w:val="006E607E"/>
    <w:rsid w:val="00706C5D"/>
    <w:rsid w:val="00732922"/>
    <w:rsid w:val="0075162E"/>
    <w:rsid w:val="00754034"/>
    <w:rsid w:val="00756556"/>
    <w:rsid w:val="007618C4"/>
    <w:rsid w:val="00767980"/>
    <w:rsid w:val="00770B19"/>
    <w:rsid w:val="0077463F"/>
    <w:rsid w:val="007836EA"/>
    <w:rsid w:val="00784CDA"/>
    <w:rsid w:val="007906C4"/>
    <w:rsid w:val="007940EA"/>
    <w:rsid w:val="007967E8"/>
    <w:rsid w:val="007A2170"/>
    <w:rsid w:val="007A22BF"/>
    <w:rsid w:val="007A3323"/>
    <w:rsid w:val="007B72B8"/>
    <w:rsid w:val="007B7A58"/>
    <w:rsid w:val="007C21B5"/>
    <w:rsid w:val="007E4BD2"/>
    <w:rsid w:val="00801393"/>
    <w:rsid w:val="00802F88"/>
    <w:rsid w:val="0081293E"/>
    <w:rsid w:val="00815465"/>
    <w:rsid w:val="00817E9A"/>
    <w:rsid w:val="008306BD"/>
    <w:rsid w:val="00831A80"/>
    <w:rsid w:val="00833743"/>
    <w:rsid w:val="008340A4"/>
    <w:rsid w:val="0087135F"/>
    <w:rsid w:val="00872D94"/>
    <w:rsid w:val="00880364"/>
    <w:rsid w:val="00891592"/>
    <w:rsid w:val="00891E9E"/>
    <w:rsid w:val="008A2F68"/>
    <w:rsid w:val="008B4FA6"/>
    <w:rsid w:val="008B5282"/>
    <w:rsid w:val="008B7C17"/>
    <w:rsid w:val="008C2D01"/>
    <w:rsid w:val="008C40E6"/>
    <w:rsid w:val="008D0F7A"/>
    <w:rsid w:val="008D1C6D"/>
    <w:rsid w:val="008D68E4"/>
    <w:rsid w:val="008E0506"/>
    <w:rsid w:val="008E0CFF"/>
    <w:rsid w:val="008E5D6B"/>
    <w:rsid w:val="008E76F0"/>
    <w:rsid w:val="008F15FE"/>
    <w:rsid w:val="008F2D29"/>
    <w:rsid w:val="008F5187"/>
    <w:rsid w:val="008F60D8"/>
    <w:rsid w:val="00902727"/>
    <w:rsid w:val="0090312B"/>
    <w:rsid w:val="0091736D"/>
    <w:rsid w:val="0093037A"/>
    <w:rsid w:val="0094154D"/>
    <w:rsid w:val="0095155F"/>
    <w:rsid w:val="00954429"/>
    <w:rsid w:val="009563CE"/>
    <w:rsid w:val="00976328"/>
    <w:rsid w:val="0097680D"/>
    <w:rsid w:val="00982438"/>
    <w:rsid w:val="0098404C"/>
    <w:rsid w:val="00985283"/>
    <w:rsid w:val="00995992"/>
    <w:rsid w:val="009A03E5"/>
    <w:rsid w:val="009A0F3B"/>
    <w:rsid w:val="009A1BB4"/>
    <w:rsid w:val="009A2628"/>
    <w:rsid w:val="009A3200"/>
    <w:rsid w:val="009B0897"/>
    <w:rsid w:val="009B7BD9"/>
    <w:rsid w:val="009C7DD5"/>
    <w:rsid w:val="009E227D"/>
    <w:rsid w:val="009E5019"/>
    <w:rsid w:val="00A04F1B"/>
    <w:rsid w:val="00A0501B"/>
    <w:rsid w:val="00A14947"/>
    <w:rsid w:val="00A26F0E"/>
    <w:rsid w:val="00A32A83"/>
    <w:rsid w:val="00A34A28"/>
    <w:rsid w:val="00A368DB"/>
    <w:rsid w:val="00A423AA"/>
    <w:rsid w:val="00A53EC6"/>
    <w:rsid w:val="00A55C0F"/>
    <w:rsid w:val="00A8713F"/>
    <w:rsid w:val="00A90BA1"/>
    <w:rsid w:val="00A97A9A"/>
    <w:rsid w:val="00AA0671"/>
    <w:rsid w:val="00AA2531"/>
    <w:rsid w:val="00AB1E09"/>
    <w:rsid w:val="00AB5330"/>
    <w:rsid w:val="00AB6DAE"/>
    <w:rsid w:val="00AB7747"/>
    <w:rsid w:val="00AC14CE"/>
    <w:rsid w:val="00AC2A56"/>
    <w:rsid w:val="00AD055E"/>
    <w:rsid w:val="00AD47A7"/>
    <w:rsid w:val="00AE6DED"/>
    <w:rsid w:val="00AF0CBF"/>
    <w:rsid w:val="00AF257F"/>
    <w:rsid w:val="00AF33CF"/>
    <w:rsid w:val="00AF4D50"/>
    <w:rsid w:val="00AF6179"/>
    <w:rsid w:val="00B1295A"/>
    <w:rsid w:val="00B20A45"/>
    <w:rsid w:val="00B22C5C"/>
    <w:rsid w:val="00B24F30"/>
    <w:rsid w:val="00B31ABF"/>
    <w:rsid w:val="00B33BE3"/>
    <w:rsid w:val="00B53B5D"/>
    <w:rsid w:val="00B6055E"/>
    <w:rsid w:val="00B6317D"/>
    <w:rsid w:val="00B7723F"/>
    <w:rsid w:val="00B80534"/>
    <w:rsid w:val="00B8433C"/>
    <w:rsid w:val="00B87491"/>
    <w:rsid w:val="00BA29E9"/>
    <w:rsid w:val="00BA7142"/>
    <w:rsid w:val="00BB237C"/>
    <w:rsid w:val="00BB41A3"/>
    <w:rsid w:val="00BB555E"/>
    <w:rsid w:val="00BC32DC"/>
    <w:rsid w:val="00BC35B6"/>
    <w:rsid w:val="00BD1B51"/>
    <w:rsid w:val="00BD4596"/>
    <w:rsid w:val="00BE1405"/>
    <w:rsid w:val="00BE312D"/>
    <w:rsid w:val="00BF1C20"/>
    <w:rsid w:val="00BF7757"/>
    <w:rsid w:val="00BF7F32"/>
    <w:rsid w:val="00C10578"/>
    <w:rsid w:val="00C135BC"/>
    <w:rsid w:val="00C15C95"/>
    <w:rsid w:val="00C2596A"/>
    <w:rsid w:val="00C27537"/>
    <w:rsid w:val="00C328FE"/>
    <w:rsid w:val="00C33507"/>
    <w:rsid w:val="00C4409D"/>
    <w:rsid w:val="00C44E72"/>
    <w:rsid w:val="00C45A06"/>
    <w:rsid w:val="00C47E5B"/>
    <w:rsid w:val="00C61E4B"/>
    <w:rsid w:val="00C64BFF"/>
    <w:rsid w:val="00C704E9"/>
    <w:rsid w:val="00C763C9"/>
    <w:rsid w:val="00C80057"/>
    <w:rsid w:val="00C82232"/>
    <w:rsid w:val="00C82913"/>
    <w:rsid w:val="00C972B1"/>
    <w:rsid w:val="00CA2CCE"/>
    <w:rsid w:val="00CA43FD"/>
    <w:rsid w:val="00CA7EF8"/>
    <w:rsid w:val="00CC489B"/>
    <w:rsid w:val="00CD2BCD"/>
    <w:rsid w:val="00CD3A4C"/>
    <w:rsid w:val="00CE10E9"/>
    <w:rsid w:val="00CE2910"/>
    <w:rsid w:val="00CE5393"/>
    <w:rsid w:val="00CE774F"/>
    <w:rsid w:val="00CF36BE"/>
    <w:rsid w:val="00CF6000"/>
    <w:rsid w:val="00D003F3"/>
    <w:rsid w:val="00D0364F"/>
    <w:rsid w:val="00D06834"/>
    <w:rsid w:val="00D23A8B"/>
    <w:rsid w:val="00D308ED"/>
    <w:rsid w:val="00D36D86"/>
    <w:rsid w:val="00D428AA"/>
    <w:rsid w:val="00D50A34"/>
    <w:rsid w:val="00D53EFA"/>
    <w:rsid w:val="00D94A7C"/>
    <w:rsid w:val="00D95896"/>
    <w:rsid w:val="00DB2983"/>
    <w:rsid w:val="00DC1257"/>
    <w:rsid w:val="00DC3DC0"/>
    <w:rsid w:val="00DC5B2B"/>
    <w:rsid w:val="00DD318D"/>
    <w:rsid w:val="00DF2E12"/>
    <w:rsid w:val="00DF514A"/>
    <w:rsid w:val="00DF6690"/>
    <w:rsid w:val="00DF6804"/>
    <w:rsid w:val="00E0358D"/>
    <w:rsid w:val="00E04323"/>
    <w:rsid w:val="00E070A2"/>
    <w:rsid w:val="00E2656A"/>
    <w:rsid w:val="00E412D0"/>
    <w:rsid w:val="00E56322"/>
    <w:rsid w:val="00E60982"/>
    <w:rsid w:val="00E62C62"/>
    <w:rsid w:val="00E654C1"/>
    <w:rsid w:val="00E65D97"/>
    <w:rsid w:val="00E72A5A"/>
    <w:rsid w:val="00E73354"/>
    <w:rsid w:val="00E9242D"/>
    <w:rsid w:val="00EB5255"/>
    <w:rsid w:val="00EB5C47"/>
    <w:rsid w:val="00ED0639"/>
    <w:rsid w:val="00EF4755"/>
    <w:rsid w:val="00EF7135"/>
    <w:rsid w:val="00F027DB"/>
    <w:rsid w:val="00F14A7A"/>
    <w:rsid w:val="00F22985"/>
    <w:rsid w:val="00F3383E"/>
    <w:rsid w:val="00F465A7"/>
    <w:rsid w:val="00F50B7C"/>
    <w:rsid w:val="00F550E6"/>
    <w:rsid w:val="00F74345"/>
    <w:rsid w:val="00F80A0A"/>
    <w:rsid w:val="00F82B19"/>
    <w:rsid w:val="00F9212D"/>
    <w:rsid w:val="00F965DA"/>
    <w:rsid w:val="00FA406A"/>
    <w:rsid w:val="00FB503A"/>
    <w:rsid w:val="00FB516C"/>
    <w:rsid w:val="00FD0236"/>
    <w:rsid w:val="00FD18F4"/>
    <w:rsid w:val="00FD54DB"/>
    <w:rsid w:val="00FD619F"/>
    <w:rsid w:val="00FE6147"/>
    <w:rsid w:val="010661EB"/>
    <w:rsid w:val="01123F4D"/>
    <w:rsid w:val="011C3196"/>
    <w:rsid w:val="01290F7E"/>
    <w:rsid w:val="013457B4"/>
    <w:rsid w:val="01390560"/>
    <w:rsid w:val="013F5CE6"/>
    <w:rsid w:val="014C4CB5"/>
    <w:rsid w:val="015D1E09"/>
    <w:rsid w:val="016604B6"/>
    <w:rsid w:val="016B23AD"/>
    <w:rsid w:val="016B3962"/>
    <w:rsid w:val="016E68D5"/>
    <w:rsid w:val="0170185E"/>
    <w:rsid w:val="019A1A1C"/>
    <w:rsid w:val="019D15BD"/>
    <w:rsid w:val="01A86642"/>
    <w:rsid w:val="02060AF0"/>
    <w:rsid w:val="022F3839"/>
    <w:rsid w:val="02325479"/>
    <w:rsid w:val="02406C4F"/>
    <w:rsid w:val="0249782F"/>
    <w:rsid w:val="024B1084"/>
    <w:rsid w:val="024E4F5B"/>
    <w:rsid w:val="024E60BC"/>
    <w:rsid w:val="024E71FD"/>
    <w:rsid w:val="02697903"/>
    <w:rsid w:val="026B6ABE"/>
    <w:rsid w:val="028117ED"/>
    <w:rsid w:val="028B54DD"/>
    <w:rsid w:val="02986ED0"/>
    <w:rsid w:val="029947D7"/>
    <w:rsid w:val="029B0A1A"/>
    <w:rsid w:val="02C04403"/>
    <w:rsid w:val="02C0760F"/>
    <w:rsid w:val="02C830E4"/>
    <w:rsid w:val="02D144EC"/>
    <w:rsid w:val="02DA303A"/>
    <w:rsid w:val="02DD09B0"/>
    <w:rsid w:val="02DD4638"/>
    <w:rsid w:val="02F235C9"/>
    <w:rsid w:val="02F96569"/>
    <w:rsid w:val="03180DA8"/>
    <w:rsid w:val="03194C48"/>
    <w:rsid w:val="031B68A3"/>
    <w:rsid w:val="03377A50"/>
    <w:rsid w:val="033B4826"/>
    <w:rsid w:val="03477F7F"/>
    <w:rsid w:val="034D020D"/>
    <w:rsid w:val="0353588E"/>
    <w:rsid w:val="03542F13"/>
    <w:rsid w:val="036704D3"/>
    <w:rsid w:val="036741DB"/>
    <w:rsid w:val="036F4D79"/>
    <w:rsid w:val="03705134"/>
    <w:rsid w:val="03A66F75"/>
    <w:rsid w:val="03A707CA"/>
    <w:rsid w:val="03AD66ED"/>
    <w:rsid w:val="03AE0CFF"/>
    <w:rsid w:val="03B63B9B"/>
    <w:rsid w:val="03BA2CD3"/>
    <w:rsid w:val="03BB124F"/>
    <w:rsid w:val="03BF0737"/>
    <w:rsid w:val="03C36E43"/>
    <w:rsid w:val="03C6770D"/>
    <w:rsid w:val="03CA71F0"/>
    <w:rsid w:val="03D0362D"/>
    <w:rsid w:val="03DD07C2"/>
    <w:rsid w:val="03E129FB"/>
    <w:rsid w:val="03EA7B21"/>
    <w:rsid w:val="04023303"/>
    <w:rsid w:val="0417063D"/>
    <w:rsid w:val="042B78A1"/>
    <w:rsid w:val="043369A9"/>
    <w:rsid w:val="04390C67"/>
    <w:rsid w:val="04462011"/>
    <w:rsid w:val="044B6419"/>
    <w:rsid w:val="045122BB"/>
    <w:rsid w:val="045E4E58"/>
    <w:rsid w:val="045F529B"/>
    <w:rsid w:val="047341A1"/>
    <w:rsid w:val="04960A1A"/>
    <w:rsid w:val="04A11768"/>
    <w:rsid w:val="04A84F70"/>
    <w:rsid w:val="04B724DA"/>
    <w:rsid w:val="04BA128C"/>
    <w:rsid w:val="04BB2335"/>
    <w:rsid w:val="04BC2509"/>
    <w:rsid w:val="04C149FC"/>
    <w:rsid w:val="04C35D73"/>
    <w:rsid w:val="04E15164"/>
    <w:rsid w:val="04E53C4D"/>
    <w:rsid w:val="050650AB"/>
    <w:rsid w:val="05136EF4"/>
    <w:rsid w:val="051A227A"/>
    <w:rsid w:val="05210B3E"/>
    <w:rsid w:val="052B0602"/>
    <w:rsid w:val="05432019"/>
    <w:rsid w:val="0544703B"/>
    <w:rsid w:val="054A1555"/>
    <w:rsid w:val="05551EB7"/>
    <w:rsid w:val="056337F9"/>
    <w:rsid w:val="058D4170"/>
    <w:rsid w:val="059A3810"/>
    <w:rsid w:val="059E1FD6"/>
    <w:rsid w:val="05AB6BBC"/>
    <w:rsid w:val="05D45367"/>
    <w:rsid w:val="05E803E9"/>
    <w:rsid w:val="05E853AA"/>
    <w:rsid w:val="05F83EAE"/>
    <w:rsid w:val="06020FEE"/>
    <w:rsid w:val="06190C19"/>
    <w:rsid w:val="062713C6"/>
    <w:rsid w:val="0629262C"/>
    <w:rsid w:val="063E03C3"/>
    <w:rsid w:val="063E7D85"/>
    <w:rsid w:val="064E5499"/>
    <w:rsid w:val="06593A3C"/>
    <w:rsid w:val="065E5D90"/>
    <w:rsid w:val="066F1B95"/>
    <w:rsid w:val="067054A6"/>
    <w:rsid w:val="067C39CE"/>
    <w:rsid w:val="06845F75"/>
    <w:rsid w:val="06860A38"/>
    <w:rsid w:val="068A3FE8"/>
    <w:rsid w:val="06A14375"/>
    <w:rsid w:val="06B97D2B"/>
    <w:rsid w:val="06C029E3"/>
    <w:rsid w:val="06C103EA"/>
    <w:rsid w:val="06C42A54"/>
    <w:rsid w:val="06C4362D"/>
    <w:rsid w:val="06DA075B"/>
    <w:rsid w:val="06E62454"/>
    <w:rsid w:val="06F62E14"/>
    <w:rsid w:val="06F729B2"/>
    <w:rsid w:val="0709399B"/>
    <w:rsid w:val="07107BC6"/>
    <w:rsid w:val="07274249"/>
    <w:rsid w:val="07293586"/>
    <w:rsid w:val="07295285"/>
    <w:rsid w:val="073379BA"/>
    <w:rsid w:val="07550729"/>
    <w:rsid w:val="07636392"/>
    <w:rsid w:val="0768299E"/>
    <w:rsid w:val="076B3965"/>
    <w:rsid w:val="07770C56"/>
    <w:rsid w:val="078048E3"/>
    <w:rsid w:val="0789431E"/>
    <w:rsid w:val="078E1F3B"/>
    <w:rsid w:val="079830CC"/>
    <w:rsid w:val="07A415C4"/>
    <w:rsid w:val="07AC30C3"/>
    <w:rsid w:val="07B84305"/>
    <w:rsid w:val="07BA5C90"/>
    <w:rsid w:val="07CD456F"/>
    <w:rsid w:val="07D00E83"/>
    <w:rsid w:val="07E36C6B"/>
    <w:rsid w:val="07EE39AB"/>
    <w:rsid w:val="07EF0236"/>
    <w:rsid w:val="07F246EE"/>
    <w:rsid w:val="07F42620"/>
    <w:rsid w:val="07F97734"/>
    <w:rsid w:val="07FA4065"/>
    <w:rsid w:val="07FD1823"/>
    <w:rsid w:val="080A0C57"/>
    <w:rsid w:val="081079E1"/>
    <w:rsid w:val="0812202A"/>
    <w:rsid w:val="08154DA0"/>
    <w:rsid w:val="082B2317"/>
    <w:rsid w:val="083223E9"/>
    <w:rsid w:val="08373AD0"/>
    <w:rsid w:val="08375DAF"/>
    <w:rsid w:val="083F0C92"/>
    <w:rsid w:val="084560A8"/>
    <w:rsid w:val="08616165"/>
    <w:rsid w:val="08657A8C"/>
    <w:rsid w:val="086C1862"/>
    <w:rsid w:val="088010EB"/>
    <w:rsid w:val="088156F3"/>
    <w:rsid w:val="08907D8B"/>
    <w:rsid w:val="089900B5"/>
    <w:rsid w:val="089C1AB4"/>
    <w:rsid w:val="08D545CC"/>
    <w:rsid w:val="08DB371F"/>
    <w:rsid w:val="08EE0200"/>
    <w:rsid w:val="08F7258E"/>
    <w:rsid w:val="090116DE"/>
    <w:rsid w:val="09176E21"/>
    <w:rsid w:val="092217DD"/>
    <w:rsid w:val="0936269F"/>
    <w:rsid w:val="09390E45"/>
    <w:rsid w:val="093A3AFC"/>
    <w:rsid w:val="093A7294"/>
    <w:rsid w:val="094C3AA0"/>
    <w:rsid w:val="09523E49"/>
    <w:rsid w:val="09584323"/>
    <w:rsid w:val="096C796E"/>
    <w:rsid w:val="098169B1"/>
    <w:rsid w:val="09826943"/>
    <w:rsid w:val="098D423D"/>
    <w:rsid w:val="099672F0"/>
    <w:rsid w:val="09BD2204"/>
    <w:rsid w:val="09CB500B"/>
    <w:rsid w:val="09CD33CC"/>
    <w:rsid w:val="09D60A13"/>
    <w:rsid w:val="09DE7CEC"/>
    <w:rsid w:val="09EA51E6"/>
    <w:rsid w:val="09ED1E39"/>
    <w:rsid w:val="0A003580"/>
    <w:rsid w:val="0A035B0C"/>
    <w:rsid w:val="0A0E3FAD"/>
    <w:rsid w:val="0A1D76B2"/>
    <w:rsid w:val="0A1E44DA"/>
    <w:rsid w:val="0A217FD8"/>
    <w:rsid w:val="0A241632"/>
    <w:rsid w:val="0A263993"/>
    <w:rsid w:val="0A2D3AC2"/>
    <w:rsid w:val="0A721F7F"/>
    <w:rsid w:val="0A804E11"/>
    <w:rsid w:val="0A8E4D98"/>
    <w:rsid w:val="0A8F0256"/>
    <w:rsid w:val="0A9A1901"/>
    <w:rsid w:val="0AA3755F"/>
    <w:rsid w:val="0AA755DF"/>
    <w:rsid w:val="0AB013D8"/>
    <w:rsid w:val="0AB77D4F"/>
    <w:rsid w:val="0AC12B42"/>
    <w:rsid w:val="0AC305C8"/>
    <w:rsid w:val="0AD044A3"/>
    <w:rsid w:val="0AD47733"/>
    <w:rsid w:val="0AD730D3"/>
    <w:rsid w:val="0ADC786B"/>
    <w:rsid w:val="0AEA2FF3"/>
    <w:rsid w:val="0AEB5513"/>
    <w:rsid w:val="0AED7096"/>
    <w:rsid w:val="0AF40FFB"/>
    <w:rsid w:val="0AF5715E"/>
    <w:rsid w:val="0AF7598A"/>
    <w:rsid w:val="0AFF2B94"/>
    <w:rsid w:val="0B000437"/>
    <w:rsid w:val="0B0261FA"/>
    <w:rsid w:val="0B120D44"/>
    <w:rsid w:val="0B2609B4"/>
    <w:rsid w:val="0B353EE1"/>
    <w:rsid w:val="0B3F0B5D"/>
    <w:rsid w:val="0B446EAF"/>
    <w:rsid w:val="0B48281C"/>
    <w:rsid w:val="0B4A6C19"/>
    <w:rsid w:val="0B4C6613"/>
    <w:rsid w:val="0B5A6B0A"/>
    <w:rsid w:val="0B622FC2"/>
    <w:rsid w:val="0B747D87"/>
    <w:rsid w:val="0B7A0FF0"/>
    <w:rsid w:val="0B82147F"/>
    <w:rsid w:val="0B8A69CA"/>
    <w:rsid w:val="0B9139B6"/>
    <w:rsid w:val="0B9B4D82"/>
    <w:rsid w:val="0BB27EF8"/>
    <w:rsid w:val="0BCB0B70"/>
    <w:rsid w:val="0BCE7CA1"/>
    <w:rsid w:val="0BD27BF6"/>
    <w:rsid w:val="0BD36947"/>
    <w:rsid w:val="0BEF1565"/>
    <w:rsid w:val="0BF64A3D"/>
    <w:rsid w:val="0C052304"/>
    <w:rsid w:val="0C0836E4"/>
    <w:rsid w:val="0C0A06A1"/>
    <w:rsid w:val="0C0B2AF9"/>
    <w:rsid w:val="0C20111D"/>
    <w:rsid w:val="0C34122A"/>
    <w:rsid w:val="0C3B3C7D"/>
    <w:rsid w:val="0C3D613A"/>
    <w:rsid w:val="0C421DF9"/>
    <w:rsid w:val="0C4A7C8C"/>
    <w:rsid w:val="0C5C2584"/>
    <w:rsid w:val="0C623E37"/>
    <w:rsid w:val="0C7977BF"/>
    <w:rsid w:val="0C987CA3"/>
    <w:rsid w:val="0CAB2EAE"/>
    <w:rsid w:val="0CBD01B9"/>
    <w:rsid w:val="0CC65DF8"/>
    <w:rsid w:val="0CD54C1E"/>
    <w:rsid w:val="0CE4480B"/>
    <w:rsid w:val="0D0D507E"/>
    <w:rsid w:val="0D16255B"/>
    <w:rsid w:val="0D265751"/>
    <w:rsid w:val="0D3B1FC4"/>
    <w:rsid w:val="0D3E3118"/>
    <w:rsid w:val="0D4161DB"/>
    <w:rsid w:val="0D4E7595"/>
    <w:rsid w:val="0D621C7D"/>
    <w:rsid w:val="0D685A70"/>
    <w:rsid w:val="0D755F95"/>
    <w:rsid w:val="0D7D5E79"/>
    <w:rsid w:val="0D7E3B61"/>
    <w:rsid w:val="0D840615"/>
    <w:rsid w:val="0D9921AC"/>
    <w:rsid w:val="0D9F0EC7"/>
    <w:rsid w:val="0D9F0F8A"/>
    <w:rsid w:val="0DA2362C"/>
    <w:rsid w:val="0DA40821"/>
    <w:rsid w:val="0DA62378"/>
    <w:rsid w:val="0DA96F18"/>
    <w:rsid w:val="0DA97AB5"/>
    <w:rsid w:val="0DC51B4A"/>
    <w:rsid w:val="0DC53E88"/>
    <w:rsid w:val="0DC95604"/>
    <w:rsid w:val="0DD1747B"/>
    <w:rsid w:val="0DD70836"/>
    <w:rsid w:val="0DDB6C9F"/>
    <w:rsid w:val="0DEB7486"/>
    <w:rsid w:val="0E031685"/>
    <w:rsid w:val="0E0A69BC"/>
    <w:rsid w:val="0E282A07"/>
    <w:rsid w:val="0E2A7DBE"/>
    <w:rsid w:val="0E305F4E"/>
    <w:rsid w:val="0E3629D9"/>
    <w:rsid w:val="0E465E4A"/>
    <w:rsid w:val="0E4A52FB"/>
    <w:rsid w:val="0E515770"/>
    <w:rsid w:val="0E5A0D94"/>
    <w:rsid w:val="0E6311F2"/>
    <w:rsid w:val="0E73034D"/>
    <w:rsid w:val="0E833FD8"/>
    <w:rsid w:val="0E8611C8"/>
    <w:rsid w:val="0E8A2A67"/>
    <w:rsid w:val="0E953B0F"/>
    <w:rsid w:val="0E984901"/>
    <w:rsid w:val="0EBC63E9"/>
    <w:rsid w:val="0ED75E82"/>
    <w:rsid w:val="0F0A5482"/>
    <w:rsid w:val="0F13775A"/>
    <w:rsid w:val="0F1957DE"/>
    <w:rsid w:val="0F29227F"/>
    <w:rsid w:val="0F296723"/>
    <w:rsid w:val="0F3F379D"/>
    <w:rsid w:val="0F5F45FE"/>
    <w:rsid w:val="0F6775CB"/>
    <w:rsid w:val="0F6B19D5"/>
    <w:rsid w:val="0F735F78"/>
    <w:rsid w:val="0F7635BB"/>
    <w:rsid w:val="0F865C8A"/>
    <w:rsid w:val="0F9A112B"/>
    <w:rsid w:val="0FA04290"/>
    <w:rsid w:val="0FDC1C7B"/>
    <w:rsid w:val="0FE12033"/>
    <w:rsid w:val="0FE268D2"/>
    <w:rsid w:val="0FE4144D"/>
    <w:rsid w:val="0FEB454A"/>
    <w:rsid w:val="0FF66AEC"/>
    <w:rsid w:val="0FFF254C"/>
    <w:rsid w:val="1000116F"/>
    <w:rsid w:val="10014A12"/>
    <w:rsid w:val="10226A9A"/>
    <w:rsid w:val="10241A25"/>
    <w:rsid w:val="102510F5"/>
    <w:rsid w:val="102A4CF7"/>
    <w:rsid w:val="102E6F92"/>
    <w:rsid w:val="103C2486"/>
    <w:rsid w:val="105C4DBA"/>
    <w:rsid w:val="105C4E6D"/>
    <w:rsid w:val="106071C9"/>
    <w:rsid w:val="1063264A"/>
    <w:rsid w:val="106A14A0"/>
    <w:rsid w:val="106D2F64"/>
    <w:rsid w:val="10702F99"/>
    <w:rsid w:val="10795A92"/>
    <w:rsid w:val="108A241D"/>
    <w:rsid w:val="1090602C"/>
    <w:rsid w:val="10935EFF"/>
    <w:rsid w:val="10B63710"/>
    <w:rsid w:val="10B86A96"/>
    <w:rsid w:val="10C00D2F"/>
    <w:rsid w:val="10DC29DB"/>
    <w:rsid w:val="10F10820"/>
    <w:rsid w:val="10F73FD4"/>
    <w:rsid w:val="11053269"/>
    <w:rsid w:val="110E2B2E"/>
    <w:rsid w:val="11123798"/>
    <w:rsid w:val="11156174"/>
    <w:rsid w:val="11194EA5"/>
    <w:rsid w:val="111C2F7A"/>
    <w:rsid w:val="11363E38"/>
    <w:rsid w:val="11367F9F"/>
    <w:rsid w:val="11382C4E"/>
    <w:rsid w:val="114E383C"/>
    <w:rsid w:val="114E7F7E"/>
    <w:rsid w:val="11594BC4"/>
    <w:rsid w:val="11665CA1"/>
    <w:rsid w:val="117845EC"/>
    <w:rsid w:val="117A3370"/>
    <w:rsid w:val="117A4A0C"/>
    <w:rsid w:val="117C2722"/>
    <w:rsid w:val="117D05CD"/>
    <w:rsid w:val="117E0EBF"/>
    <w:rsid w:val="11814F70"/>
    <w:rsid w:val="11852036"/>
    <w:rsid w:val="11BF6B16"/>
    <w:rsid w:val="11C0423C"/>
    <w:rsid w:val="11C22BDC"/>
    <w:rsid w:val="11DC215D"/>
    <w:rsid w:val="11E07CB3"/>
    <w:rsid w:val="11F06F87"/>
    <w:rsid w:val="11F94EA5"/>
    <w:rsid w:val="1200578E"/>
    <w:rsid w:val="120E2219"/>
    <w:rsid w:val="121A0F4E"/>
    <w:rsid w:val="121D2E3A"/>
    <w:rsid w:val="1224655D"/>
    <w:rsid w:val="12250703"/>
    <w:rsid w:val="12436759"/>
    <w:rsid w:val="124A7EDB"/>
    <w:rsid w:val="124C5FD2"/>
    <w:rsid w:val="125020AE"/>
    <w:rsid w:val="12681383"/>
    <w:rsid w:val="12917E5E"/>
    <w:rsid w:val="12A52701"/>
    <w:rsid w:val="12AD1646"/>
    <w:rsid w:val="12AF77DA"/>
    <w:rsid w:val="12B931D6"/>
    <w:rsid w:val="12C52AF5"/>
    <w:rsid w:val="12D44BF8"/>
    <w:rsid w:val="12DF03A9"/>
    <w:rsid w:val="12E637F1"/>
    <w:rsid w:val="12E905CD"/>
    <w:rsid w:val="12F224BB"/>
    <w:rsid w:val="1307676E"/>
    <w:rsid w:val="130A6B04"/>
    <w:rsid w:val="130D06CD"/>
    <w:rsid w:val="130D6927"/>
    <w:rsid w:val="1312473E"/>
    <w:rsid w:val="131A2A24"/>
    <w:rsid w:val="131B18DA"/>
    <w:rsid w:val="131F272F"/>
    <w:rsid w:val="132E024D"/>
    <w:rsid w:val="133276D9"/>
    <w:rsid w:val="133E38F9"/>
    <w:rsid w:val="13496D29"/>
    <w:rsid w:val="13650D02"/>
    <w:rsid w:val="13700AB4"/>
    <w:rsid w:val="13720C2C"/>
    <w:rsid w:val="137462B5"/>
    <w:rsid w:val="137A44D7"/>
    <w:rsid w:val="137C0134"/>
    <w:rsid w:val="138F3AE6"/>
    <w:rsid w:val="13923E92"/>
    <w:rsid w:val="13951726"/>
    <w:rsid w:val="13A53131"/>
    <w:rsid w:val="13BD2427"/>
    <w:rsid w:val="13C26410"/>
    <w:rsid w:val="13C71B2A"/>
    <w:rsid w:val="13CB7849"/>
    <w:rsid w:val="13CD520A"/>
    <w:rsid w:val="13CF6C5F"/>
    <w:rsid w:val="13DD5079"/>
    <w:rsid w:val="13DE6D32"/>
    <w:rsid w:val="13E04B4D"/>
    <w:rsid w:val="13E3511A"/>
    <w:rsid w:val="13E80D25"/>
    <w:rsid w:val="13E91285"/>
    <w:rsid w:val="13E97EE8"/>
    <w:rsid w:val="140A20D8"/>
    <w:rsid w:val="1417020B"/>
    <w:rsid w:val="141C0756"/>
    <w:rsid w:val="143471F0"/>
    <w:rsid w:val="14364F2C"/>
    <w:rsid w:val="14396509"/>
    <w:rsid w:val="14423187"/>
    <w:rsid w:val="14425194"/>
    <w:rsid w:val="144954C7"/>
    <w:rsid w:val="14504BDB"/>
    <w:rsid w:val="145263C8"/>
    <w:rsid w:val="14540836"/>
    <w:rsid w:val="14577D53"/>
    <w:rsid w:val="145D2BA6"/>
    <w:rsid w:val="145D677F"/>
    <w:rsid w:val="146A374B"/>
    <w:rsid w:val="146A6548"/>
    <w:rsid w:val="14757D77"/>
    <w:rsid w:val="147B2C1E"/>
    <w:rsid w:val="149448E7"/>
    <w:rsid w:val="14991C55"/>
    <w:rsid w:val="14A63272"/>
    <w:rsid w:val="14AF24DC"/>
    <w:rsid w:val="14B1117C"/>
    <w:rsid w:val="14B30216"/>
    <w:rsid w:val="14B43D6B"/>
    <w:rsid w:val="14B73D31"/>
    <w:rsid w:val="14D16CE2"/>
    <w:rsid w:val="14DB3219"/>
    <w:rsid w:val="14DD2C3C"/>
    <w:rsid w:val="14F606B8"/>
    <w:rsid w:val="15363A0C"/>
    <w:rsid w:val="153D63CB"/>
    <w:rsid w:val="15430E50"/>
    <w:rsid w:val="1550596F"/>
    <w:rsid w:val="15581E17"/>
    <w:rsid w:val="156319F3"/>
    <w:rsid w:val="157C14CA"/>
    <w:rsid w:val="158521DA"/>
    <w:rsid w:val="158B795C"/>
    <w:rsid w:val="15921FA5"/>
    <w:rsid w:val="15991588"/>
    <w:rsid w:val="15A23118"/>
    <w:rsid w:val="15A417ED"/>
    <w:rsid w:val="15C43F35"/>
    <w:rsid w:val="15C7682C"/>
    <w:rsid w:val="15C9016D"/>
    <w:rsid w:val="15CA52BA"/>
    <w:rsid w:val="15CB7C81"/>
    <w:rsid w:val="15D23276"/>
    <w:rsid w:val="15DE5101"/>
    <w:rsid w:val="15E21D11"/>
    <w:rsid w:val="15EA0661"/>
    <w:rsid w:val="15EA3E6B"/>
    <w:rsid w:val="1600055C"/>
    <w:rsid w:val="16036910"/>
    <w:rsid w:val="16087E1D"/>
    <w:rsid w:val="161A2958"/>
    <w:rsid w:val="16202192"/>
    <w:rsid w:val="162F6B0E"/>
    <w:rsid w:val="16414301"/>
    <w:rsid w:val="164B0567"/>
    <w:rsid w:val="165F2DA7"/>
    <w:rsid w:val="16654EBE"/>
    <w:rsid w:val="16692992"/>
    <w:rsid w:val="16740E05"/>
    <w:rsid w:val="16922E00"/>
    <w:rsid w:val="16A03444"/>
    <w:rsid w:val="16AA0138"/>
    <w:rsid w:val="16AC5E28"/>
    <w:rsid w:val="16AD2C30"/>
    <w:rsid w:val="16AE0D16"/>
    <w:rsid w:val="16C02EA0"/>
    <w:rsid w:val="16E624AA"/>
    <w:rsid w:val="16FD49B5"/>
    <w:rsid w:val="170B3646"/>
    <w:rsid w:val="170E7B15"/>
    <w:rsid w:val="170F29C9"/>
    <w:rsid w:val="17137CA1"/>
    <w:rsid w:val="17191297"/>
    <w:rsid w:val="173B5C5B"/>
    <w:rsid w:val="17480586"/>
    <w:rsid w:val="17581222"/>
    <w:rsid w:val="1761550F"/>
    <w:rsid w:val="17701D14"/>
    <w:rsid w:val="17735226"/>
    <w:rsid w:val="177B47A4"/>
    <w:rsid w:val="178961B2"/>
    <w:rsid w:val="178A0F83"/>
    <w:rsid w:val="179151F9"/>
    <w:rsid w:val="1794387B"/>
    <w:rsid w:val="17A008F9"/>
    <w:rsid w:val="17AD3C71"/>
    <w:rsid w:val="17B53575"/>
    <w:rsid w:val="17B84046"/>
    <w:rsid w:val="17BD1D5E"/>
    <w:rsid w:val="17BF57B9"/>
    <w:rsid w:val="17CE427F"/>
    <w:rsid w:val="17D25543"/>
    <w:rsid w:val="17E55306"/>
    <w:rsid w:val="17EE3FF4"/>
    <w:rsid w:val="180540FE"/>
    <w:rsid w:val="180A62F6"/>
    <w:rsid w:val="180D5419"/>
    <w:rsid w:val="180F2D43"/>
    <w:rsid w:val="180F4400"/>
    <w:rsid w:val="181957AB"/>
    <w:rsid w:val="181C2EE0"/>
    <w:rsid w:val="182E7932"/>
    <w:rsid w:val="18607E09"/>
    <w:rsid w:val="186533DF"/>
    <w:rsid w:val="186E5157"/>
    <w:rsid w:val="18762D1E"/>
    <w:rsid w:val="18787F8B"/>
    <w:rsid w:val="187E123D"/>
    <w:rsid w:val="18802F8C"/>
    <w:rsid w:val="188365F6"/>
    <w:rsid w:val="1884480E"/>
    <w:rsid w:val="188C2904"/>
    <w:rsid w:val="18963507"/>
    <w:rsid w:val="189E3CDE"/>
    <w:rsid w:val="189F372D"/>
    <w:rsid w:val="189F624C"/>
    <w:rsid w:val="18AA4541"/>
    <w:rsid w:val="18AE6926"/>
    <w:rsid w:val="18B255CB"/>
    <w:rsid w:val="18BD7CDA"/>
    <w:rsid w:val="18BE3CD8"/>
    <w:rsid w:val="18BF20EB"/>
    <w:rsid w:val="18CA0412"/>
    <w:rsid w:val="18D17C9E"/>
    <w:rsid w:val="18DA6B8A"/>
    <w:rsid w:val="18FB0198"/>
    <w:rsid w:val="19002453"/>
    <w:rsid w:val="190F145D"/>
    <w:rsid w:val="19182CCF"/>
    <w:rsid w:val="19223E2A"/>
    <w:rsid w:val="193A039E"/>
    <w:rsid w:val="193D027C"/>
    <w:rsid w:val="19505836"/>
    <w:rsid w:val="195E20D5"/>
    <w:rsid w:val="195E6D95"/>
    <w:rsid w:val="19614D0C"/>
    <w:rsid w:val="19660C02"/>
    <w:rsid w:val="19782BFB"/>
    <w:rsid w:val="19840097"/>
    <w:rsid w:val="198B1D56"/>
    <w:rsid w:val="198D4F9B"/>
    <w:rsid w:val="198E04B5"/>
    <w:rsid w:val="199900A5"/>
    <w:rsid w:val="19B353A0"/>
    <w:rsid w:val="19B52223"/>
    <w:rsid w:val="19BB19CA"/>
    <w:rsid w:val="19BD6461"/>
    <w:rsid w:val="19BE5056"/>
    <w:rsid w:val="19C562BB"/>
    <w:rsid w:val="19C86047"/>
    <w:rsid w:val="19CD6357"/>
    <w:rsid w:val="19D32CA7"/>
    <w:rsid w:val="19DC1C99"/>
    <w:rsid w:val="19DE0CE2"/>
    <w:rsid w:val="19E02EE1"/>
    <w:rsid w:val="19ED4E67"/>
    <w:rsid w:val="19F1781C"/>
    <w:rsid w:val="19F32F1D"/>
    <w:rsid w:val="19FE3F5C"/>
    <w:rsid w:val="1A1416C6"/>
    <w:rsid w:val="1A1C66C0"/>
    <w:rsid w:val="1A2D6BB0"/>
    <w:rsid w:val="1A356462"/>
    <w:rsid w:val="1A3A7A37"/>
    <w:rsid w:val="1A3F3F57"/>
    <w:rsid w:val="1A401E0F"/>
    <w:rsid w:val="1A403349"/>
    <w:rsid w:val="1A42393B"/>
    <w:rsid w:val="1A4E64FE"/>
    <w:rsid w:val="1A6410C2"/>
    <w:rsid w:val="1A7964E9"/>
    <w:rsid w:val="1A913B59"/>
    <w:rsid w:val="1A9240DF"/>
    <w:rsid w:val="1A937054"/>
    <w:rsid w:val="1A9C0395"/>
    <w:rsid w:val="1A9C1F9E"/>
    <w:rsid w:val="1AAA7226"/>
    <w:rsid w:val="1AAD45DE"/>
    <w:rsid w:val="1AAE2BE6"/>
    <w:rsid w:val="1ABD4B4F"/>
    <w:rsid w:val="1ABF1900"/>
    <w:rsid w:val="1AE96634"/>
    <w:rsid w:val="1AEC69A0"/>
    <w:rsid w:val="1B046F80"/>
    <w:rsid w:val="1B1A2928"/>
    <w:rsid w:val="1B3267B5"/>
    <w:rsid w:val="1B327A91"/>
    <w:rsid w:val="1B40161D"/>
    <w:rsid w:val="1B423FAF"/>
    <w:rsid w:val="1B441859"/>
    <w:rsid w:val="1B595258"/>
    <w:rsid w:val="1B5A1AA3"/>
    <w:rsid w:val="1B5A7DAB"/>
    <w:rsid w:val="1B5F527B"/>
    <w:rsid w:val="1B6606B1"/>
    <w:rsid w:val="1B706419"/>
    <w:rsid w:val="1B7829E5"/>
    <w:rsid w:val="1B7C07C9"/>
    <w:rsid w:val="1B7F7ECF"/>
    <w:rsid w:val="1B872A1A"/>
    <w:rsid w:val="1B8C0A56"/>
    <w:rsid w:val="1B913923"/>
    <w:rsid w:val="1B931EB0"/>
    <w:rsid w:val="1BAA2D4F"/>
    <w:rsid w:val="1BB2516F"/>
    <w:rsid w:val="1BCE020D"/>
    <w:rsid w:val="1BDA3ECC"/>
    <w:rsid w:val="1BE06581"/>
    <w:rsid w:val="1BE914BA"/>
    <w:rsid w:val="1C00628F"/>
    <w:rsid w:val="1C0A7453"/>
    <w:rsid w:val="1C1A2D66"/>
    <w:rsid w:val="1C1C7406"/>
    <w:rsid w:val="1C252714"/>
    <w:rsid w:val="1C2629DA"/>
    <w:rsid w:val="1C3338AB"/>
    <w:rsid w:val="1C3742D9"/>
    <w:rsid w:val="1C4C2CFD"/>
    <w:rsid w:val="1C5A787B"/>
    <w:rsid w:val="1C5E7925"/>
    <w:rsid w:val="1C646FED"/>
    <w:rsid w:val="1C65043B"/>
    <w:rsid w:val="1C6B6299"/>
    <w:rsid w:val="1C7378F9"/>
    <w:rsid w:val="1C81310D"/>
    <w:rsid w:val="1C8C6E38"/>
    <w:rsid w:val="1C980A44"/>
    <w:rsid w:val="1CAF5E7A"/>
    <w:rsid w:val="1CC579AC"/>
    <w:rsid w:val="1CC61FCD"/>
    <w:rsid w:val="1CD62FC9"/>
    <w:rsid w:val="1CE336D3"/>
    <w:rsid w:val="1CE828E2"/>
    <w:rsid w:val="1CF475D3"/>
    <w:rsid w:val="1CFD070F"/>
    <w:rsid w:val="1D1B3DEF"/>
    <w:rsid w:val="1D1E7B72"/>
    <w:rsid w:val="1D2F1A1E"/>
    <w:rsid w:val="1D31734C"/>
    <w:rsid w:val="1D3E15EC"/>
    <w:rsid w:val="1D41644E"/>
    <w:rsid w:val="1D47564C"/>
    <w:rsid w:val="1D594D2B"/>
    <w:rsid w:val="1D594E5B"/>
    <w:rsid w:val="1D5C1A72"/>
    <w:rsid w:val="1D5F6196"/>
    <w:rsid w:val="1D6132A5"/>
    <w:rsid w:val="1D66725D"/>
    <w:rsid w:val="1D6A03AC"/>
    <w:rsid w:val="1D7B363E"/>
    <w:rsid w:val="1D8E56D5"/>
    <w:rsid w:val="1D9C3F6B"/>
    <w:rsid w:val="1DA14C0C"/>
    <w:rsid w:val="1DB032CA"/>
    <w:rsid w:val="1DB45650"/>
    <w:rsid w:val="1DB64D25"/>
    <w:rsid w:val="1DC4369D"/>
    <w:rsid w:val="1DC52165"/>
    <w:rsid w:val="1DC55869"/>
    <w:rsid w:val="1DC64C74"/>
    <w:rsid w:val="1DCC6E1A"/>
    <w:rsid w:val="1DD6290E"/>
    <w:rsid w:val="1DD80E75"/>
    <w:rsid w:val="1DD91315"/>
    <w:rsid w:val="1DE07899"/>
    <w:rsid w:val="1DE3277E"/>
    <w:rsid w:val="1DFE2E7A"/>
    <w:rsid w:val="1E0241AE"/>
    <w:rsid w:val="1E0326AD"/>
    <w:rsid w:val="1E1223E9"/>
    <w:rsid w:val="1E125DA9"/>
    <w:rsid w:val="1E1C7C39"/>
    <w:rsid w:val="1E2137A1"/>
    <w:rsid w:val="1E274168"/>
    <w:rsid w:val="1E55704D"/>
    <w:rsid w:val="1E773418"/>
    <w:rsid w:val="1E7A43DA"/>
    <w:rsid w:val="1E8E389F"/>
    <w:rsid w:val="1E8F6A52"/>
    <w:rsid w:val="1E976A1F"/>
    <w:rsid w:val="1E983D86"/>
    <w:rsid w:val="1EA73DB5"/>
    <w:rsid w:val="1EB03333"/>
    <w:rsid w:val="1EB416F1"/>
    <w:rsid w:val="1EC164BD"/>
    <w:rsid w:val="1EC17125"/>
    <w:rsid w:val="1ED24175"/>
    <w:rsid w:val="1ED35801"/>
    <w:rsid w:val="1ED379F6"/>
    <w:rsid w:val="1EDC48DB"/>
    <w:rsid w:val="1EDD516F"/>
    <w:rsid w:val="1EDF23C8"/>
    <w:rsid w:val="1EE372AB"/>
    <w:rsid w:val="1EED0D74"/>
    <w:rsid w:val="1EF0279E"/>
    <w:rsid w:val="1EF55145"/>
    <w:rsid w:val="1EFA416B"/>
    <w:rsid w:val="1F07006B"/>
    <w:rsid w:val="1F18416C"/>
    <w:rsid w:val="1F1864CB"/>
    <w:rsid w:val="1F33749A"/>
    <w:rsid w:val="1F3D0BAB"/>
    <w:rsid w:val="1F420499"/>
    <w:rsid w:val="1F486845"/>
    <w:rsid w:val="1F51709C"/>
    <w:rsid w:val="1F575C13"/>
    <w:rsid w:val="1F582EC3"/>
    <w:rsid w:val="1F5A2445"/>
    <w:rsid w:val="1F613655"/>
    <w:rsid w:val="1F685698"/>
    <w:rsid w:val="1F697227"/>
    <w:rsid w:val="1F736016"/>
    <w:rsid w:val="1F852452"/>
    <w:rsid w:val="1F890E4F"/>
    <w:rsid w:val="1F9E4428"/>
    <w:rsid w:val="1FBE2FE5"/>
    <w:rsid w:val="1FC00C01"/>
    <w:rsid w:val="1FC84455"/>
    <w:rsid w:val="1FCC4485"/>
    <w:rsid w:val="1FD12112"/>
    <w:rsid w:val="1FDA0777"/>
    <w:rsid w:val="1FE37EF3"/>
    <w:rsid w:val="1FE7539E"/>
    <w:rsid w:val="1FE85819"/>
    <w:rsid w:val="1FF62D57"/>
    <w:rsid w:val="1FF63C67"/>
    <w:rsid w:val="1FFE6D29"/>
    <w:rsid w:val="20000DDB"/>
    <w:rsid w:val="200D39B4"/>
    <w:rsid w:val="2021436A"/>
    <w:rsid w:val="202208F8"/>
    <w:rsid w:val="20226178"/>
    <w:rsid w:val="20260B19"/>
    <w:rsid w:val="202C3A6D"/>
    <w:rsid w:val="203A5641"/>
    <w:rsid w:val="204E6524"/>
    <w:rsid w:val="20512BDF"/>
    <w:rsid w:val="20671BE0"/>
    <w:rsid w:val="207609FE"/>
    <w:rsid w:val="20834DD2"/>
    <w:rsid w:val="20843E77"/>
    <w:rsid w:val="20963CB8"/>
    <w:rsid w:val="20964673"/>
    <w:rsid w:val="20A47611"/>
    <w:rsid w:val="20A81A1B"/>
    <w:rsid w:val="20B07FB6"/>
    <w:rsid w:val="20B646FB"/>
    <w:rsid w:val="20BF0C96"/>
    <w:rsid w:val="20D12B0B"/>
    <w:rsid w:val="20D16A4A"/>
    <w:rsid w:val="20F126A7"/>
    <w:rsid w:val="20F34C38"/>
    <w:rsid w:val="20F55B11"/>
    <w:rsid w:val="20FF4B0F"/>
    <w:rsid w:val="212104FE"/>
    <w:rsid w:val="212420F6"/>
    <w:rsid w:val="213B4884"/>
    <w:rsid w:val="213B74B1"/>
    <w:rsid w:val="213E7217"/>
    <w:rsid w:val="213F39B6"/>
    <w:rsid w:val="21510199"/>
    <w:rsid w:val="215476EB"/>
    <w:rsid w:val="215A2310"/>
    <w:rsid w:val="215F17BA"/>
    <w:rsid w:val="21686489"/>
    <w:rsid w:val="216C2D42"/>
    <w:rsid w:val="21755153"/>
    <w:rsid w:val="217A4216"/>
    <w:rsid w:val="217A5EC7"/>
    <w:rsid w:val="217E2766"/>
    <w:rsid w:val="218B7EA4"/>
    <w:rsid w:val="21917906"/>
    <w:rsid w:val="219859CA"/>
    <w:rsid w:val="21B12AC5"/>
    <w:rsid w:val="21C01C16"/>
    <w:rsid w:val="21CB12D0"/>
    <w:rsid w:val="21CC274A"/>
    <w:rsid w:val="21D46499"/>
    <w:rsid w:val="21DE318A"/>
    <w:rsid w:val="21E53068"/>
    <w:rsid w:val="21EF5B80"/>
    <w:rsid w:val="21FF69FB"/>
    <w:rsid w:val="2211559C"/>
    <w:rsid w:val="22162C4E"/>
    <w:rsid w:val="22195088"/>
    <w:rsid w:val="2223701A"/>
    <w:rsid w:val="22254AC1"/>
    <w:rsid w:val="22372314"/>
    <w:rsid w:val="2239526A"/>
    <w:rsid w:val="224C0D83"/>
    <w:rsid w:val="225343F3"/>
    <w:rsid w:val="22576990"/>
    <w:rsid w:val="22645AA9"/>
    <w:rsid w:val="22651B4B"/>
    <w:rsid w:val="226C7993"/>
    <w:rsid w:val="226E2085"/>
    <w:rsid w:val="227F5B10"/>
    <w:rsid w:val="22874BAA"/>
    <w:rsid w:val="22A51E56"/>
    <w:rsid w:val="22A76B3C"/>
    <w:rsid w:val="22AD0F59"/>
    <w:rsid w:val="22B76D63"/>
    <w:rsid w:val="22BD12E7"/>
    <w:rsid w:val="22F16713"/>
    <w:rsid w:val="22F47480"/>
    <w:rsid w:val="22FA7271"/>
    <w:rsid w:val="22FA7F12"/>
    <w:rsid w:val="22FB3657"/>
    <w:rsid w:val="23017896"/>
    <w:rsid w:val="230632CD"/>
    <w:rsid w:val="2316746F"/>
    <w:rsid w:val="232D370A"/>
    <w:rsid w:val="23355532"/>
    <w:rsid w:val="23356A63"/>
    <w:rsid w:val="233D33EC"/>
    <w:rsid w:val="233E3859"/>
    <w:rsid w:val="234234BF"/>
    <w:rsid w:val="23434244"/>
    <w:rsid w:val="234C4F44"/>
    <w:rsid w:val="2357538C"/>
    <w:rsid w:val="23766F3F"/>
    <w:rsid w:val="237F2B50"/>
    <w:rsid w:val="238C4270"/>
    <w:rsid w:val="238D4B83"/>
    <w:rsid w:val="238E110C"/>
    <w:rsid w:val="23947B46"/>
    <w:rsid w:val="2399129D"/>
    <w:rsid w:val="2399538C"/>
    <w:rsid w:val="23C316A6"/>
    <w:rsid w:val="23C87550"/>
    <w:rsid w:val="23D234C6"/>
    <w:rsid w:val="23D47CC4"/>
    <w:rsid w:val="23DE1C48"/>
    <w:rsid w:val="23E06FE7"/>
    <w:rsid w:val="23EF284C"/>
    <w:rsid w:val="23F6080D"/>
    <w:rsid w:val="23F62992"/>
    <w:rsid w:val="23FC02C9"/>
    <w:rsid w:val="240210CD"/>
    <w:rsid w:val="240F2B2D"/>
    <w:rsid w:val="241223AC"/>
    <w:rsid w:val="24191C31"/>
    <w:rsid w:val="242673B9"/>
    <w:rsid w:val="2438594A"/>
    <w:rsid w:val="24386C9B"/>
    <w:rsid w:val="244D65B8"/>
    <w:rsid w:val="24596A62"/>
    <w:rsid w:val="245A1D31"/>
    <w:rsid w:val="24625AF5"/>
    <w:rsid w:val="246E5015"/>
    <w:rsid w:val="247F281F"/>
    <w:rsid w:val="248465A1"/>
    <w:rsid w:val="248806EF"/>
    <w:rsid w:val="249C7B27"/>
    <w:rsid w:val="24A55C52"/>
    <w:rsid w:val="24BF09F7"/>
    <w:rsid w:val="24C3237A"/>
    <w:rsid w:val="24CC0484"/>
    <w:rsid w:val="24F20F0E"/>
    <w:rsid w:val="24F31124"/>
    <w:rsid w:val="24F52DEC"/>
    <w:rsid w:val="2512743D"/>
    <w:rsid w:val="25254F04"/>
    <w:rsid w:val="252D53FE"/>
    <w:rsid w:val="25340703"/>
    <w:rsid w:val="2540524D"/>
    <w:rsid w:val="254D36B0"/>
    <w:rsid w:val="254D6B07"/>
    <w:rsid w:val="255B64DB"/>
    <w:rsid w:val="256C361F"/>
    <w:rsid w:val="257F2A27"/>
    <w:rsid w:val="25824499"/>
    <w:rsid w:val="25863656"/>
    <w:rsid w:val="25A51C0D"/>
    <w:rsid w:val="25A56B85"/>
    <w:rsid w:val="25C74149"/>
    <w:rsid w:val="25D30B66"/>
    <w:rsid w:val="25DA7304"/>
    <w:rsid w:val="25DB38CA"/>
    <w:rsid w:val="25E06D1D"/>
    <w:rsid w:val="25E301FD"/>
    <w:rsid w:val="25EC2D81"/>
    <w:rsid w:val="25F62EA5"/>
    <w:rsid w:val="2605554C"/>
    <w:rsid w:val="260F3450"/>
    <w:rsid w:val="260F670E"/>
    <w:rsid w:val="26220E0B"/>
    <w:rsid w:val="262475DA"/>
    <w:rsid w:val="26266EDE"/>
    <w:rsid w:val="26294D4A"/>
    <w:rsid w:val="26584D13"/>
    <w:rsid w:val="266016B4"/>
    <w:rsid w:val="266637E6"/>
    <w:rsid w:val="26887D7C"/>
    <w:rsid w:val="26931689"/>
    <w:rsid w:val="26955472"/>
    <w:rsid w:val="26A144D7"/>
    <w:rsid w:val="26A748D6"/>
    <w:rsid w:val="26B93E00"/>
    <w:rsid w:val="26BC6F14"/>
    <w:rsid w:val="26BD44AC"/>
    <w:rsid w:val="26CA2898"/>
    <w:rsid w:val="26D9646E"/>
    <w:rsid w:val="26EF349C"/>
    <w:rsid w:val="26F31053"/>
    <w:rsid w:val="26F94E1C"/>
    <w:rsid w:val="26FD0E0F"/>
    <w:rsid w:val="270432AE"/>
    <w:rsid w:val="27056EFF"/>
    <w:rsid w:val="2717535D"/>
    <w:rsid w:val="27200EFF"/>
    <w:rsid w:val="273911D2"/>
    <w:rsid w:val="27571E60"/>
    <w:rsid w:val="277057A2"/>
    <w:rsid w:val="27713CBF"/>
    <w:rsid w:val="277465BF"/>
    <w:rsid w:val="27752AEF"/>
    <w:rsid w:val="277F7E31"/>
    <w:rsid w:val="27870532"/>
    <w:rsid w:val="27A15753"/>
    <w:rsid w:val="27A228ED"/>
    <w:rsid w:val="27A25E0C"/>
    <w:rsid w:val="27A92795"/>
    <w:rsid w:val="27B24A86"/>
    <w:rsid w:val="27B8761C"/>
    <w:rsid w:val="27BE4532"/>
    <w:rsid w:val="27BF657A"/>
    <w:rsid w:val="27C76682"/>
    <w:rsid w:val="27C90FDE"/>
    <w:rsid w:val="27CC1208"/>
    <w:rsid w:val="27D5316B"/>
    <w:rsid w:val="27D70CD3"/>
    <w:rsid w:val="27E631D6"/>
    <w:rsid w:val="27E70AD2"/>
    <w:rsid w:val="27F32308"/>
    <w:rsid w:val="27F56CD7"/>
    <w:rsid w:val="28101DD7"/>
    <w:rsid w:val="282554E8"/>
    <w:rsid w:val="283224C2"/>
    <w:rsid w:val="283C2885"/>
    <w:rsid w:val="283D6936"/>
    <w:rsid w:val="28421E20"/>
    <w:rsid w:val="284648BE"/>
    <w:rsid w:val="284F1777"/>
    <w:rsid w:val="2852444C"/>
    <w:rsid w:val="28581C37"/>
    <w:rsid w:val="28583441"/>
    <w:rsid w:val="285E2AFD"/>
    <w:rsid w:val="2862422F"/>
    <w:rsid w:val="286D5686"/>
    <w:rsid w:val="287762B4"/>
    <w:rsid w:val="287E201F"/>
    <w:rsid w:val="288331B7"/>
    <w:rsid w:val="28A418B6"/>
    <w:rsid w:val="28AB7521"/>
    <w:rsid w:val="28B235D5"/>
    <w:rsid w:val="28B64CA1"/>
    <w:rsid w:val="28BF2B6D"/>
    <w:rsid w:val="28C3754A"/>
    <w:rsid w:val="28CB3741"/>
    <w:rsid w:val="28D4629F"/>
    <w:rsid w:val="28E36960"/>
    <w:rsid w:val="28EC0DEC"/>
    <w:rsid w:val="28F15BC1"/>
    <w:rsid w:val="28F37471"/>
    <w:rsid w:val="290D3744"/>
    <w:rsid w:val="29117606"/>
    <w:rsid w:val="29206EB8"/>
    <w:rsid w:val="29366E60"/>
    <w:rsid w:val="29526384"/>
    <w:rsid w:val="29595666"/>
    <w:rsid w:val="295B52D4"/>
    <w:rsid w:val="2964077F"/>
    <w:rsid w:val="296F7300"/>
    <w:rsid w:val="29754E0D"/>
    <w:rsid w:val="29797F7A"/>
    <w:rsid w:val="29874881"/>
    <w:rsid w:val="29933CE9"/>
    <w:rsid w:val="29997B56"/>
    <w:rsid w:val="29A45F0E"/>
    <w:rsid w:val="29CA0209"/>
    <w:rsid w:val="29D3056D"/>
    <w:rsid w:val="29DD7891"/>
    <w:rsid w:val="29E325E0"/>
    <w:rsid w:val="29EC132F"/>
    <w:rsid w:val="29ED7F57"/>
    <w:rsid w:val="2A077627"/>
    <w:rsid w:val="2A1434F4"/>
    <w:rsid w:val="2A1C77F0"/>
    <w:rsid w:val="2A377F67"/>
    <w:rsid w:val="2A3F69A3"/>
    <w:rsid w:val="2A452503"/>
    <w:rsid w:val="2A50472C"/>
    <w:rsid w:val="2A55140F"/>
    <w:rsid w:val="2A595D52"/>
    <w:rsid w:val="2A5B7962"/>
    <w:rsid w:val="2A670CD2"/>
    <w:rsid w:val="2A6D4BE6"/>
    <w:rsid w:val="2A9F7A13"/>
    <w:rsid w:val="2AA27D71"/>
    <w:rsid w:val="2AB85C35"/>
    <w:rsid w:val="2ABB0720"/>
    <w:rsid w:val="2AC24188"/>
    <w:rsid w:val="2AC71ABC"/>
    <w:rsid w:val="2ACB573B"/>
    <w:rsid w:val="2ACF3FE1"/>
    <w:rsid w:val="2AD57308"/>
    <w:rsid w:val="2ADC3449"/>
    <w:rsid w:val="2ADF5715"/>
    <w:rsid w:val="2AF45F2C"/>
    <w:rsid w:val="2B100D83"/>
    <w:rsid w:val="2B187776"/>
    <w:rsid w:val="2B1A5744"/>
    <w:rsid w:val="2B1B113B"/>
    <w:rsid w:val="2B2C1A29"/>
    <w:rsid w:val="2B336ED3"/>
    <w:rsid w:val="2B414D27"/>
    <w:rsid w:val="2B4D3342"/>
    <w:rsid w:val="2B533D48"/>
    <w:rsid w:val="2B5A647E"/>
    <w:rsid w:val="2B7F57C0"/>
    <w:rsid w:val="2B813BF3"/>
    <w:rsid w:val="2B880FE2"/>
    <w:rsid w:val="2B8E2DAA"/>
    <w:rsid w:val="2B903DDB"/>
    <w:rsid w:val="2B9E7A03"/>
    <w:rsid w:val="2BA002BE"/>
    <w:rsid w:val="2BA1496A"/>
    <w:rsid w:val="2BA936A8"/>
    <w:rsid w:val="2BAB39EE"/>
    <w:rsid w:val="2BC6122E"/>
    <w:rsid w:val="2BC61491"/>
    <w:rsid w:val="2BDA2D80"/>
    <w:rsid w:val="2BF2265C"/>
    <w:rsid w:val="2BF4585B"/>
    <w:rsid w:val="2C087980"/>
    <w:rsid w:val="2C315A5A"/>
    <w:rsid w:val="2C462D76"/>
    <w:rsid w:val="2C4B1C25"/>
    <w:rsid w:val="2C4F6B23"/>
    <w:rsid w:val="2C537BAF"/>
    <w:rsid w:val="2C591F11"/>
    <w:rsid w:val="2C5F19A4"/>
    <w:rsid w:val="2C734A42"/>
    <w:rsid w:val="2C7D62B2"/>
    <w:rsid w:val="2C8F70B7"/>
    <w:rsid w:val="2C911B65"/>
    <w:rsid w:val="2C966BDD"/>
    <w:rsid w:val="2CB96B01"/>
    <w:rsid w:val="2CD04747"/>
    <w:rsid w:val="2CD677A9"/>
    <w:rsid w:val="2CDB070A"/>
    <w:rsid w:val="2CDF0251"/>
    <w:rsid w:val="2CEA4EE8"/>
    <w:rsid w:val="2CED0939"/>
    <w:rsid w:val="2CED4FF2"/>
    <w:rsid w:val="2CF972DD"/>
    <w:rsid w:val="2D030FE8"/>
    <w:rsid w:val="2D1A7386"/>
    <w:rsid w:val="2D1E6D44"/>
    <w:rsid w:val="2D1F11B0"/>
    <w:rsid w:val="2D1F7480"/>
    <w:rsid w:val="2D3D71E5"/>
    <w:rsid w:val="2D5E46C3"/>
    <w:rsid w:val="2D6428D0"/>
    <w:rsid w:val="2D6B2CA4"/>
    <w:rsid w:val="2D8A6439"/>
    <w:rsid w:val="2D8E5371"/>
    <w:rsid w:val="2D9E56F5"/>
    <w:rsid w:val="2DAB0707"/>
    <w:rsid w:val="2DB24FE9"/>
    <w:rsid w:val="2DC773DC"/>
    <w:rsid w:val="2DD10F58"/>
    <w:rsid w:val="2DF11688"/>
    <w:rsid w:val="2E0B3984"/>
    <w:rsid w:val="2E0B57C8"/>
    <w:rsid w:val="2E215E3B"/>
    <w:rsid w:val="2E435D7B"/>
    <w:rsid w:val="2E5B0653"/>
    <w:rsid w:val="2E6640C7"/>
    <w:rsid w:val="2E667F96"/>
    <w:rsid w:val="2E76516C"/>
    <w:rsid w:val="2E784888"/>
    <w:rsid w:val="2E7C46F0"/>
    <w:rsid w:val="2E822240"/>
    <w:rsid w:val="2E8226AB"/>
    <w:rsid w:val="2E9C5657"/>
    <w:rsid w:val="2EAA3626"/>
    <w:rsid w:val="2EB624C7"/>
    <w:rsid w:val="2EBC3387"/>
    <w:rsid w:val="2EBF0175"/>
    <w:rsid w:val="2EC524CF"/>
    <w:rsid w:val="2ECE3C73"/>
    <w:rsid w:val="2ED578D6"/>
    <w:rsid w:val="2EE04D92"/>
    <w:rsid w:val="2EE90518"/>
    <w:rsid w:val="2EE95277"/>
    <w:rsid w:val="2EEF32D5"/>
    <w:rsid w:val="2EF1193F"/>
    <w:rsid w:val="2EF72182"/>
    <w:rsid w:val="2EFA37C3"/>
    <w:rsid w:val="2F1A0526"/>
    <w:rsid w:val="2F217670"/>
    <w:rsid w:val="2F252F3B"/>
    <w:rsid w:val="2F3A1C98"/>
    <w:rsid w:val="2F3C447C"/>
    <w:rsid w:val="2F4B7B98"/>
    <w:rsid w:val="2F5023CE"/>
    <w:rsid w:val="2F636D2D"/>
    <w:rsid w:val="2F637ACD"/>
    <w:rsid w:val="2F7F748C"/>
    <w:rsid w:val="2F96550C"/>
    <w:rsid w:val="2F9B00FC"/>
    <w:rsid w:val="2FA31782"/>
    <w:rsid w:val="2FA61338"/>
    <w:rsid w:val="2FCA5A72"/>
    <w:rsid w:val="2FD065E6"/>
    <w:rsid w:val="2FD37C1B"/>
    <w:rsid w:val="2FD96870"/>
    <w:rsid w:val="2FEC7CF4"/>
    <w:rsid w:val="2FFF7C63"/>
    <w:rsid w:val="30126E38"/>
    <w:rsid w:val="30197060"/>
    <w:rsid w:val="30274161"/>
    <w:rsid w:val="303007D5"/>
    <w:rsid w:val="30335F9E"/>
    <w:rsid w:val="303B3440"/>
    <w:rsid w:val="30465A7E"/>
    <w:rsid w:val="30547E42"/>
    <w:rsid w:val="30580BC9"/>
    <w:rsid w:val="305D6B4A"/>
    <w:rsid w:val="30611DC5"/>
    <w:rsid w:val="306C7826"/>
    <w:rsid w:val="30772D2A"/>
    <w:rsid w:val="308A5697"/>
    <w:rsid w:val="309208F7"/>
    <w:rsid w:val="30954C40"/>
    <w:rsid w:val="30A12176"/>
    <w:rsid w:val="30A6151F"/>
    <w:rsid w:val="30B13826"/>
    <w:rsid w:val="30B16B98"/>
    <w:rsid w:val="30BA0EE3"/>
    <w:rsid w:val="30C118C7"/>
    <w:rsid w:val="30CA469B"/>
    <w:rsid w:val="30D66A6F"/>
    <w:rsid w:val="30DA7866"/>
    <w:rsid w:val="30E3190B"/>
    <w:rsid w:val="30EE2ED1"/>
    <w:rsid w:val="30F37A89"/>
    <w:rsid w:val="30F52442"/>
    <w:rsid w:val="310928A8"/>
    <w:rsid w:val="31132E62"/>
    <w:rsid w:val="31134BA8"/>
    <w:rsid w:val="311E2ED7"/>
    <w:rsid w:val="31223F7B"/>
    <w:rsid w:val="312312C2"/>
    <w:rsid w:val="313777E7"/>
    <w:rsid w:val="314F69AB"/>
    <w:rsid w:val="315135A1"/>
    <w:rsid w:val="315619EE"/>
    <w:rsid w:val="315C449C"/>
    <w:rsid w:val="316B5D34"/>
    <w:rsid w:val="316F2F68"/>
    <w:rsid w:val="318D1D9D"/>
    <w:rsid w:val="318F7204"/>
    <w:rsid w:val="319D04B6"/>
    <w:rsid w:val="319F2918"/>
    <w:rsid w:val="31AB407D"/>
    <w:rsid w:val="31AD5DBE"/>
    <w:rsid w:val="31B55F95"/>
    <w:rsid w:val="31B82709"/>
    <w:rsid w:val="31B90217"/>
    <w:rsid w:val="31D05482"/>
    <w:rsid w:val="31D81A58"/>
    <w:rsid w:val="31EB5639"/>
    <w:rsid w:val="31F66D25"/>
    <w:rsid w:val="31FD7AE8"/>
    <w:rsid w:val="32116B21"/>
    <w:rsid w:val="32384376"/>
    <w:rsid w:val="323A0C83"/>
    <w:rsid w:val="323F0457"/>
    <w:rsid w:val="32400B34"/>
    <w:rsid w:val="3258412E"/>
    <w:rsid w:val="32597305"/>
    <w:rsid w:val="32614771"/>
    <w:rsid w:val="327324A7"/>
    <w:rsid w:val="32906510"/>
    <w:rsid w:val="32980711"/>
    <w:rsid w:val="329E6876"/>
    <w:rsid w:val="32B33E9F"/>
    <w:rsid w:val="32BB7900"/>
    <w:rsid w:val="32BF24F9"/>
    <w:rsid w:val="32BF6F0A"/>
    <w:rsid w:val="32C1275D"/>
    <w:rsid w:val="32CB084C"/>
    <w:rsid w:val="32CD3E15"/>
    <w:rsid w:val="32E71098"/>
    <w:rsid w:val="32E900D1"/>
    <w:rsid w:val="32ED0F19"/>
    <w:rsid w:val="32F93C3D"/>
    <w:rsid w:val="32FB78B3"/>
    <w:rsid w:val="331C3EB9"/>
    <w:rsid w:val="33273346"/>
    <w:rsid w:val="333015F2"/>
    <w:rsid w:val="333621B3"/>
    <w:rsid w:val="333B75B5"/>
    <w:rsid w:val="33436FAF"/>
    <w:rsid w:val="334B6320"/>
    <w:rsid w:val="336B6139"/>
    <w:rsid w:val="33724077"/>
    <w:rsid w:val="33764C4D"/>
    <w:rsid w:val="338754D7"/>
    <w:rsid w:val="338C6CE3"/>
    <w:rsid w:val="338C6DD4"/>
    <w:rsid w:val="338F41B7"/>
    <w:rsid w:val="339C3CA6"/>
    <w:rsid w:val="33A912A6"/>
    <w:rsid w:val="33AA01B2"/>
    <w:rsid w:val="33B2370E"/>
    <w:rsid w:val="33BA4774"/>
    <w:rsid w:val="33D934D4"/>
    <w:rsid w:val="33E548E3"/>
    <w:rsid w:val="33E677E9"/>
    <w:rsid w:val="33E74939"/>
    <w:rsid w:val="33EE0BC9"/>
    <w:rsid w:val="33FE2F6A"/>
    <w:rsid w:val="340E07E5"/>
    <w:rsid w:val="341A42ED"/>
    <w:rsid w:val="34235BF7"/>
    <w:rsid w:val="342656F7"/>
    <w:rsid w:val="3427305B"/>
    <w:rsid w:val="342B1D46"/>
    <w:rsid w:val="343A070C"/>
    <w:rsid w:val="34412CC8"/>
    <w:rsid w:val="346A767E"/>
    <w:rsid w:val="349E158D"/>
    <w:rsid w:val="349F158C"/>
    <w:rsid w:val="34A03917"/>
    <w:rsid w:val="34A34BE1"/>
    <w:rsid w:val="34B070BC"/>
    <w:rsid w:val="34B85A23"/>
    <w:rsid w:val="34BE44CC"/>
    <w:rsid w:val="34C225DC"/>
    <w:rsid w:val="34CA4168"/>
    <w:rsid w:val="34E2486A"/>
    <w:rsid w:val="34E253C5"/>
    <w:rsid w:val="34E74FC0"/>
    <w:rsid w:val="34FC5C28"/>
    <w:rsid w:val="351228A2"/>
    <w:rsid w:val="35170ACA"/>
    <w:rsid w:val="3517691A"/>
    <w:rsid w:val="352B1364"/>
    <w:rsid w:val="352F71B1"/>
    <w:rsid w:val="353A31EC"/>
    <w:rsid w:val="353E3CAA"/>
    <w:rsid w:val="35426ED7"/>
    <w:rsid w:val="354918EA"/>
    <w:rsid w:val="35546661"/>
    <w:rsid w:val="35657FD0"/>
    <w:rsid w:val="356A1512"/>
    <w:rsid w:val="35777012"/>
    <w:rsid w:val="357B7A73"/>
    <w:rsid w:val="35811281"/>
    <w:rsid w:val="358C5FA8"/>
    <w:rsid w:val="358E4074"/>
    <w:rsid w:val="35A63294"/>
    <w:rsid w:val="35A65B84"/>
    <w:rsid w:val="35B013B6"/>
    <w:rsid w:val="35B93AAE"/>
    <w:rsid w:val="35C103D1"/>
    <w:rsid w:val="35C15DF1"/>
    <w:rsid w:val="35C2091A"/>
    <w:rsid w:val="35E118A6"/>
    <w:rsid w:val="35E42132"/>
    <w:rsid w:val="35E45E68"/>
    <w:rsid w:val="35F20115"/>
    <w:rsid w:val="35F545A1"/>
    <w:rsid w:val="35FE5AFB"/>
    <w:rsid w:val="36024D4E"/>
    <w:rsid w:val="36031169"/>
    <w:rsid w:val="36074A7F"/>
    <w:rsid w:val="360C557C"/>
    <w:rsid w:val="360E46AD"/>
    <w:rsid w:val="361E0DB7"/>
    <w:rsid w:val="364B412E"/>
    <w:rsid w:val="365612FC"/>
    <w:rsid w:val="365E72E1"/>
    <w:rsid w:val="366643CD"/>
    <w:rsid w:val="36706EBA"/>
    <w:rsid w:val="36726769"/>
    <w:rsid w:val="367630D2"/>
    <w:rsid w:val="36771587"/>
    <w:rsid w:val="36810318"/>
    <w:rsid w:val="3684043C"/>
    <w:rsid w:val="368D7406"/>
    <w:rsid w:val="368D7772"/>
    <w:rsid w:val="36923549"/>
    <w:rsid w:val="36976519"/>
    <w:rsid w:val="36AA582A"/>
    <w:rsid w:val="36AD4AB4"/>
    <w:rsid w:val="36B72512"/>
    <w:rsid w:val="36B75FBF"/>
    <w:rsid w:val="36BD0C45"/>
    <w:rsid w:val="36BD3769"/>
    <w:rsid w:val="36BF4BF9"/>
    <w:rsid w:val="36D339C9"/>
    <w:rsid w:val="36D5455A"/>
    <w:rsid w:val="36E60E2C"/>
    <w:rsid w:val="36E712AF"/>
    <w:rsid w:val="36EB2EA4"/>
    <w:rsid w:val="36F14914"/>
    <w:rsid w:val="36F561E6"/>
    <w:rsid w:val="36F952A2"/>
    <w:rsid w:val="36FA57A2"/>
    <w:rsid w:val="371C348F"/>
    <w:rsid w:val="373C177F"/>
    <w:rsid w:val="37485159"/>
    <w:rsid w:val="374D2157"/>
    <w:rsid w:val="375A193C"/>
    <w:rsid w:val="376E25E3"/>
    <w:rsid w:val="37734130"/>
    <w:rsid w:val="37A44F01"/>
    <w:rsid w:val="37B75201"/>
    <w:rsid w:val="37BF7F1B"/>
    <w:rsid w:val="37C957BD"/>
    <w:rsid w:val="37D775A3"/>
    <w:rsid w:val="37DB26EA"/>
    <w:rsid w:val="37E00298"/>
    <w:rsid w:val="37FC0F70"/>
    <w:rsid w:val="381A5700"/>
    <w:rsid w:val="38205DBB"/>
    <w:rsid w:val="3828495C"/>
    <w:rsid w:val="38375FDE"/>
    <w:rsid w:val="384B106C"/>
    <w:rsid w:val="385A2DBA"/>
    <w:rsid w:val="386167A6"/>
    <w:rsid w:val="38733487"/>
    <w:rsid w:val="38745299"/>
    <w:rsid w:val="387A2233"/>
    <w:rsid w:val="387E6C93"/>
    <w:rsid w:val="3881324F"/>
    <w:rsid w:val="388776E9"/>
    <w:rsid w:val="38965C3C"/>
    <w:rsid w:val="38970DE7"/>
    <w:rsid w:val="389E3C18"/>
    <w:rsid w:val="38B302F9"/>
    <w:rsid w:val="38B45501"/>
    <w:rsid w:val="38D47842"/>
    <w:rsid w:val="38F12CD3"/>
    <w:rsid w:val="38F94775"/>
    <w:rsid w:val="390C5F17"/>
    <w:rsid w:val="39101954"/>
    <w:rsid w:val="391124C7"/>
    <w:rsid w:val="391652B8"/>
    <w:rsid w:val="39193641"/>
    <w:rsid w:val="391A70F9"/>
    <w:rsid w:val="39224840"/>
    <w:rsid w:val="392766C3"/>
    <w:rsid w:val="392971ED"/>
    <w:rsid w:val="39325651"/>
    <w:rsid w:val="393A0D92"/>
    <w:rsid w:val="393B14E3"/>
    <w:rsid w:val="39401C85"/>
    <w:rsid w:val="39403B26"/>
    <w:rsid w:val="39432AB0"/>
    <w:rsid w:val="396D0821"/>
    <w:rsid w:val="3973558C"/>
    <w:rsid w:val="398C2174"/>
    <w:rsid w:val="399A3BF6"/>
    <w:rsid w:val="39A73D99"/>
    <w:rsid w:val="39AB5E03"/>
    <w:rsid w:val="39B00FD8"/>
    <w:rsid w:val="39B030CD"/>
    <w:rsid w:val="39B107A3"/>
    <w:rsid w:val="39B86180"/>
    <w:rsid w:val="39CB7AAE"/>
    <w:rsid w:val="39D47335"/>
    <w:rsid w:val="39EA6199"/>
    <w:rsid w:val="39F0705B"/>
    <w:rsid w:val="39F37859"/>
    <w:rsid w:val="39F730C0"/>
    <w:rsid w:val="3A1B34E6"/>
    <w:rsid w:val="3A1C3AAD"/>
    <w:rsid w:val="3A2B6AAD"/>
    <w:rsid w:val="3A371A4F"/>
    <w:rsid w:val="3A4F3FEF"/>
    <w:rsid w:val="3A57176C"/>
    <w:rsid w:val="3A616C61"/>
    <w:rsid w:val="3A664E0C"/>
    <w:rsid w:val="3A6903A6"/>
    <w:rsid w:val="3A730986"/>
    <w:rsid w:val="3A764800"/>
    <w:rsid w:val="3A7A6D13"/>
    <w:rsid w:val="3A837043"/>
    <w:rsid w:val="3A872856"/>
    <w:rsid w:val="3A9E3272"/>
    <w:rsid w:val="3AA1258D"/>
    <w:rsid w:val="3ABF4B2E"/>
    <w:rsid w:val="3ACC6777"/>
    <w:rsid w:val="3AD03B74"/>
    <w:rsid w:val="3AF9753B"/>
    <w:rsid w:val="3B036F3F"/>
    <w:rsid w:val="3B19756F"/>
    <w:rsid w:val="3B1A6269"/>
    <w:rsid w:val="3B1E33AF"/>
    <w:rsid w:val="3B3748BA"/>
    <w:rsid w:val="3B3763D1"/>
    <w:rsid w:val="3B382C49"/>
    <w:rsid w:val="3B3C7592"/>
    <w:rsid w:val="3B502344"/>
    <w:rsid w:val="3B582CD0"/>
    <w:rsid w:val="3B65627E"/>
    <w:rsid w:val="3B821E17"/>
    <w:rsid w:val="3B852239"/>
    <w:rsid w:val="3B9218C6"/>
    <w:rsid w:val="3BB24CB8"/>
    <w:rsid w:val="3BBC5437"/>
    <w:rsid w:val="3BBD600A"/>
    <w:rsid w:val="3BC10D2A"/>
    <w:rsid w:val="3BCF73D6"/>
    <w:rsid w:val="3BDE5D52"/>
    <w:rsid w:val="3BE127FB"/>
    <w:rsid w:val="3BE1540E"/>
    <w:rsid w:val="3BE61A58"/>
    <w:rsid w:val="3BF87391"/>
    <w:rsid w:val="3BFE13DD"/>
    <w:rsid w:val="3C071C37"/>
    <w:rsid w:val="3C072AE3"/>
    <w:rsid w:val="3C1C08F2"/>
    <w:rsid w:val="3C2F6E1E"/>
    <w:rsid w:val="3C4E34E1"/>
    <w:rsid w:val="3C4F64BA"/>
    <w:rsid w:val="3C5554D7"/>
    <w:rsid w:val="3C560EC6"/>
    <w:rsid w:val="3C5A3195"/>
    <w:rsid w:val="3C6B7B98"/>
    <w:rsid w:val="3C6C2145"/>
    <w:rsid w:val="3C824F29"/>
    <w:rsid w:val="3C860462"/>
    <w:rsid w:val="3C882362"/>
    <w:rsid w:val="3C9708C1"/>
    <w:rsid w:val="3C993AFB"/>
    <w:rsid w:val="3C9B6520"/>
    <w:rsid w:val="3CB15A86"/>
    <w:rsid w:val="3CDA245A"/>
    <w:rsid w:val="3CEA360F"/>
    <w:rsid w:val="3CFA5A93"/>
    <w:rsid w:val="3CFE4211"/>
    <w:rsid w:val="3D0551DC"/>
    <w:rsid w:val="3D086D50"/>
    <w:rsid w:val="3D0B08E8"/>
    <w:rsid w:val="3D0D2ECA"/>
    <w:rsid w:val="3D1A219F"/>
    <w:rsid w:val="3D1B5047"/>
    <w:rsid w:val="3D1C2C39"/>
    <w:rsid w:val="3D1E06B7"/>
    <w:rsid w:val="3D33448E"/>
    <w:rsid w:val="3D445E6E"/>
    <w:rsid w:val="3D4E5B18"/>
    <w:rsid w:val="3D4F6AA6"/>
    <w:rsid w:val="3D520A02"/>
    <w:rsid w:val="3D647481"/>
    <w:rsid w:val="3D6C20D8"/>
    <w:rsid w:val="3D7014FB"/>
    <w:rsid w:val="3D716309"/>
    <w:rsid w:val="3D7734E1"/>
    <w:rsid w:val="3D85585D"/>
    <w:rsid w:val="3D884474"/>
    <w:rsid w:val="3D962779"/>
    <w:rsid w:val="3DAE7F66"/>
    <w:rsid w:val="3DB84736"/>
    <w:rsid w:val="3DCE6284"/>
    <w:rsid w:val="3DD339DE"/>
    <w:rsid w:val="3DE5476D"/>
    <w:rsid w:val="3DE609CA"/>
    <w:rsid w:val="3DEF1831"/>
    <w:rsid w:val="3DEF5790"/>
    <w:rsid w:val="3DF11F8B"/>
    <w:rsid w:val="3E351CD4"/>
    <w:rsid w:val="3E352B05"/>
    <w:rsid w:val="3E3B7BE9"/>
    <w:rsid w:val="3E4759CE"/>
    <w:rsid w:val="3E4E4CF0"/>
    <w:rsid w:val="3E4F28BB"/>
    <w:rsid w:val="3E5D553A"/>
    <w:rsid w:val="3E654706"/>
    <w:rsid w:val="3E697C01"/>
    <w:rsid w:val="3E6A2797"/>
    <w:rsid w:val="3E7916CC"/>
    <w:rsid w:val="3E7D7A8C"/>
    <w:rsid w:val="3E8B37AD"/>
    <w:rsid w:val="3EC51700"/>
    <w:rsid w:val="3ECC5827"/>
    <w:rsid w:val="3ECE0F80"/>
    <w:rsid w:val="3ED45E36"/>
    <w:rsid w:val="3ED7139B"/>
    <w:rsid w:val="3EDA0523"/>
    <w:rsid w:val="3EDE09C2"/>
    <w:rsid w:val="3F012929"/>
    <w:rsid w:val="3F130E4D"/>
    <w:rsid w:val="3F1A0415"/>
    <w:rsid w:val="3F1C6615"/>
    <w:rsid w:val="3F2969DF"/>
    <w:rsid w:val="3F304414"/>
    <w:rsid w:val="3F324A7C"/>
    <w:rsid w:val="3F484151"/>
    <w:rsid w:val="3F70311A"/>
    <w:rsid w:val="3F792FE1"/>
    <w:rsid w:val="3F83115A"/>
    <w:rsid w:val="3F88125D"/>
    <w:rsid w:val="3F8F0882"/>
    <w:rsid w:val="3F8F3E58"/>
    <w:rsid w:val="3F933322"/>
    <w:rsid w:val="3FA04D61"/>
    <w:rsid w:val="3FA943DB"/>
    <w:rsid w:val="3FCC30F4"/>
    <w:rsid w:val="3FF06EF8"/>
    <w:rsid w:val="4004722B"/>
    <w:rsid w:val="40146CE2"/>
    <w:rsid w:val="40226F03"/>
    <w:rsid w:val="40253E77"/>
    <w:rsid w:val="40377EB9"/>
    <w:rsid w:val="403F69ED"/>
    <w:rsid w:val="40464188"/>
    <w:rsid w:val="40474A15"/>
    <w:rsid w:val="404B5A53"/>
    <w:rsid w:val="404B7DF9"/>
    <w:rsid w:val="405C5F9C"/>
    <w:rsid w:val="40625E21"/>
    <w:rsid w:val="40630CCA"/>
    <w:rsid w:val="40646FF5"/>
    <w:rsid w:val="406941BC"/>
    <w:rsid w:val="406A092D"/>
    <w:rsid w:val="407A6407"/>
    <w:rsid w:val="407F1DD7"/>
    <w:rsid w:val="4083154C"/>
    <w:rsid w:val="40865487"/>
    <w:rsid w:val="40880C4C"/>
    <w:rsid w:val="4091725F"/>
    <w:rsid w:val="409E1713"/>
    <w:rsid w:val="40A034AA"/>
    <w:rsid w:val="40A610D2"/>
    <w:rsid w:val="40A81E03"/>
    <w:rsid w:val="40B66F22"/>
    <w:rsid w:val="40C3044C"/>
    <w:rsid w:val="40CB2DD6"/>
    <w:rsid w:val="40DA4429"/>
    <w:rsid w:val="40DD5137"/>
    <w:rsid w:val="40E715FE"/>
    <w:rsid w:val="40F06445"/>
    <w:rsid w:val="40F31238"/>
    <w:rsid w:val="40F83814"/>
    <w:rsid w:val="40FC3891"/>
    <w:rsid w:val="410446C0"/>
    <w:rsid w:val="41143D20"/>
    <w:rsid w:val="413C7A2C"/>
    <w:rsid w:val="41444410"/>
    <w:rsid w:val="414836C7"/>
    <w:rsid w:val="414B60ED"/>
    <w:rsid w:val="41530821"/>
    <w:rsid w:val="41553EBF"/>
    <w:rsid w:val="415741DA"/>
    <w:rsid w:val="41581F02"/>
    <w:rsid w:val="415B70CC"/>
    <w:rsid w:val="416F4992"/>
    <w:rsid w:val="41704DF6"/>
    <w:rsid w:val="41764F49"/>
    <w:rsid w:val="41AD4F91"/>
    <w:rsid w:val="41AF7DDD"/>
    <w:rsid w:val="41B034B4"/>
    <w:rsid w:val="41B85A67"/>
    <w:rsid w:val="41DB088C"/>
    <w:rsid w:val="41E02DF2"/>
    <w:rsid w:val="41E66C6A"/>
    <w:rsid w:val="4200449D"/>
    <w:rsid w:val="4202684C"/>
    <w:rsid w:val="42052900"/>
    <w:rsid w:val="42060F45"/>
    <w:rsid w:val="4206154A"/>
    <w:rsid w:val="420741FB"/>
    <w:rsid w:val="420B1598"/>
    <w:rsid w:val="42113EA2"/>
    <w:rsid w:val="4214731D"/>
    <w:rsid w:val="42152395"/>
    <w:rsid w:val="421C2E12"/>
    <w:rsid w:val="421C5F3B"/>
    <w:rsid w:val="421D0A58"/>
    <w:rsid w:val="422A6B4C"/>
    <w:rsid w:val="42351B89"/>
    <w:rsid w:val="423A3BCC"/>
    <w:rsid w:val="42453233"/>
    <w:rsid w:val="42454A70"/>
    <w:rsid w:val="424E54FB"/>
    <w:rsid w:val="424E57D2"/>
    <w:rsid w:val="4258464E"/>
    <w:rsid w:val="42696C5C"/>
    <w:rsid w:val="426B42FB"/>
    <w:rsid w:val="426C1C40"/>
    <w:rsid w:val="427117B7"/>
    <w:rsid w:val="42800FE7"/>
    <w:rsid w:val="428319F4"/>
    <w:rsid w:val="4295102B"/>
    <w:rsid w:val="429709B2"/>
    <w:rsid w:val="42984281"/>
    <w:rsid w:val="429E32B2"/>
    <w:rsid w:val="42A11E1E"/>
    <w:rsid w:val="42A67C63"/>
    <w:rsid w:val="42A72071"/>
    <w:rsid w:val="42A72441"/>
    <w:rsid w:val="42B26C49"/>
    <w:rsid w:val="42B84224"/>
    <w:rsid w:val="42C62596"/>
    <w:rsid w:val="42CE7842"/>
    <w:rsid w:val="42D06F80"/>
    <w:rsid w:val="42D32459"/>
    <w:rsid w:val="42D442B5"/>
    <w:rsid w:val="42DC38BA"/>
    <w:rsid w:val="42DE174F"/>
    <w:rsid w:val="42E363D8"/>
    <w:rsid w:val="42E464F7"/>
    <w:rsid w:val="42FB6099"/>
    <w:rsid w:val="42FC76D0"/>
    <w:rsid w:val="430055FF"/>
    <w:rsid w:val="43034705"/>
    <w:rsid w:val="430E21EC"/>
    <w:rsid w:val="43145A83"/>
    <w:rsid w:val="43190A36"/>
    <w:rsid w:val="4323028E"/>
    <w:rsid w:val="43351641"/>
    <w:rsid w:val="4338133D"/>
    <w:rsid w:val="433A6FE6"/>
    <w:rsid w:val="433C473A"/>
    <w:rsid w:val="43480868"/>
    <w:rsid w:val="4350713C"/>
    <w:rsid w:val="43515C2F"/>
    <w:rsid w:val="43574906"/>
    <w:rsid w:val="435968D0"/>
    <w:rsid w:val="436653E0"/>
    <w:rsid w:val="436A7C64"/>
    <w:rsid w:val="436B7824"/>
    <w:rsid w:val="437531CC"/>
    <w:rsid w:val="437E2766"/>
    <w:rsid w:val="43805878"/>
    <w:rsid w:val="43835E42"/>
    <w:rsid w:val="43854442"/>
    <w:rsid w:val="438735F2"/>
    <w:rsid w:val="438D20D6"/>
    <w:rsid w:val="43A0017C"/>
    <w:rsid w:val="43B2100E"/>
    <w:rsid w:val="43B40BEA"/>
    <w:rsid w:val="43BB30E7"/>
    <w:rsid w:val="43BC344E"/>
    <w:rsid w:val="43C4431A"/>
    <w:rsid w:val="43C84F50"/>
    <w:rsid w:val="43CE14F2"/>
    <w:rsid w:val="440B6FFD"/>
    <w:rsid w:val="440D4A97"/>
    <w:rsid w:val="44144553"/>
    <w:rsid w:val="44281E71"/>
    <w:rsid w:val="44300956"/>
    <w:rsid w:val="44304ABB"/>
    <w:rsid w:val="44327FFA"/>
    <w:rsid w:val="444523B6"/>
    <w:rsid w:val="44487EF3"/>
    <w:rsid w:val="44520A66"/>
    <w:rsid w:val="445A0066"/>
    <w:rsid w:val="44604B4B"/>
    <w:rsid w:val="446348A0"/>
    <w:rsid w:val="446623F8"/>
    <w:rsid w:val="4479684A"/>
    <w:rsid w:val="44955658"/>
    <w:rsid w:val="44B8188A"/>
    <w:rsid w:val="44B951CC"/>
    <w:rsid w:val="44BC60C7"/>
    <w:rsid w:val="44CD14E0"/>
    <w:rsid w:val="44EC5894"/>
    <w:rsid w:val="44F20B0B"/>
    <w:rsid w:val="44F56185"/>
    <w:rsid w:val="44FD0118"/>
    <w:rsid w:val="45096A16"/>
    <w:rsid w:val="450C6F24"/>
    <w:rsid w:val="45154021"/>
    <w:rsid w:val="451D770C"/>
    <w:rsid w:val="4528270D"/>
    <w:rsid w:val="452A777C"/>
    <w:rsid w:val="452E5F4C"/>
    <w:rsid w:val="45355C72"/>
    <w:rsid w:val="45387D09"/>
    <w:rsid w:val="453D0478"/>
    <w:rsid w:val="45525011"/>
    <w:rsid w:val="455A6994"/>
    <w:rsid w:val="455C54DB"/>
    <w:rsid w:val="45612018"/>
    <w:rsid w:val="45736516"/>
    <w:rsid w:val="45794A8F"/>
    <w:rsid w:val="457B79AD"/>
    <w:rsid w:val="457F1844"/>
    <w:rsid w:val="458946E9"/>
    <w:rsid w:val="458A5F54"/>
    <w:rsid w:val="45936A17"/>
    <w:rsid w:val="45A461FA"/>
    <w:rsid w:val="45A46E3A"/>
    <w:rsid w:val="45A47C0E"/>
    <w:rsid w:val="45A81828"/>
    <w:rsid w:val="45C070F6"/>
    <w:rsid w:val="45E5590C"/>
    <w:rsid w:val="45F153C1"/>
    <w:rsid w:val="4601186F"/>
    <w:rsid w:val="4616137F"/>
    <w:rsid w:val="462320A1"/>
    <w:rsid w:val="46470AD7"/>
    <w:rsid w:val="464B3950"/>
    <w:rsid w:val="4653076F"/>
    <w:rsid w:val="46577FD6"/>
    <w:rsid w:val="46681380"/>
    <w:rsid w:val="467264BC"/>
    <w:rsid w:val="468B6B6F"/>
    <w:rsid w:val="468D47EC"/>
    <w:rsid w:val="469040C6"/>
    <w:rsid w:val="4697651C"/>
    <w:rsid w:val="46A90896"/>
    <w:rsid w:val="46BB1DC2"/>
    <w:rsid w:val="46BB3D53"/>
    <w:rsid w:val="46BB47D4"/>
    <w:rsid w:val="46BD6F14"/>
    <w:rsid w:val="46BE2FFD"/>
    <w:rsid w:val="46C56837"/>
    <w:rsid w:val="46D617C3"/>
    <w:rsid w:val="46D64665"/>
    <w:rsid w:val="46D955A7"/>
    <w:rsid w:val="46DB4144"/>
    <w:rsid w:val="46E20822"/>
    <w:rsid w:val="46E9032F"/>
    <w:rsid w:val="46F472E3"/>
    <w:rsid w:val="46F529FA"/>
    <w:rsid w:val="47133957"/>
    <w:rsid w:val="472E16A2"/>
    <w:rsid w:val="473154FF"/>
    <w:rsid w:val="47320520"/>
    <w:rsid w:val="473236C0"/>
    <w:rsid w:val="4749536F"/>
    <w:rsid w:val="474C596E"/>
    <w:rsid w:val="47515C59"/>
    <w:rsid w:val="476632D7"/>
    <w:rsid w:val="476B585D"/>
    <w:rsid w:val="47711B93"/>
    <w:rsid w:val="477C70E1"/>
    <w:rsid w:val="478E473D"/>
    <w:rsid w:val="47A07E0C"/>
    <w:rsid w:val="47AC7B82"/>
    <w:rsid w:val="47CB3273"/>
    <w:rsid w:val="47F40252"/>
    <w:rsid w:val="48020B05"/>
    <w:rsid w:val="4802724F"/>
    <w:rsid w:val="48070FFC"/>
    <w:rsid w:val="480928DB"/>
    <w:rsid w:val="480B2301"/>
    <w:rsid w:val="48282A67"/>
    <w:rsid w:val="483D056E"/>
    <w:rsid w:val="483F6CE7"/>
    <w:rsid w:val="484364C7"/>
    <w:rsid w:val="48482E61"/>
    <w:rsid w:val="484B62E6"/>
    <w:rsid w:val="4857632E"/>
    <w:rsid w:val="485D6909"/>
    <w:rsid w:val="48621D21"/>
    <w:rsid w:val="48645EA5"/>
    <w:rsid w:val="4870272E"/>
    <w:rsid w:val="487E0564"/>
    <w:rsid w:val="488071D0"/>
    <w:rsid w:val="48922DE9"/>
    <w:rsid w:val="48B813D3"/>
    <w:rsid w:val="48D34920"/>
    <w:rsid w:val="48E419EA"/>
    <w:rsid w:val="48EE3C22"/>
    <w:rsid w:val="48F16E9D"/>
    <w:rsid w:val="48F74BC1"/>
    <w:rsid w:val="49140C5D"/>
    <w:rsid w:val="49144846"/>
    <w:rsid w:val="491932EF"/>
    <w:rsid w:val="4921625B"/>
    <w:rsid w:val="493D106F"/>
    <w:rsid w:val="494346BD"/>
    <w:rsid w:val="49441C4D"/>
    <w:rsid w:val="494B2033"/>
    <w:rsid w:val="49735ED5"/>
    <w:rsid w:val="49832DD7"/>
    <w:rsid w:val="49874521"/>
    <w:rsid w:val="49897289"/>
    <w:rsid w:val="498E0949"/>
    <w:rsid w:val="499C439D"/>
    <w:rsid w:val="499E007A"/>
    <w:rsid w:val="499E503D"/>
    <w:rsid w:val="49A351ED"/>
    <w:rsid w:val="49A438F9"/>
    <w:rsid w:val="49CF2519"/>
    <w:rsid w:val="49DC7715"/>
    <w:rsid w:val="49E07403"/>
    <w:rsid w:val="49E4784D"/>
    <w:rsid w:val="49EB253D"/>
    <w:rsid w:val="4A023139"/>
    <w:rsid w:val="4A196361"/>
    <w:rsid w:val="4A2321C4"/>
    <w:rsid w:val="4A234554"/>
    <w:rsid w:val="4A3114ED"/>
    <w:rsid w:val="4A545C27"/>
    <w:rsid w:val="4A560166"/>
    <w:rsid w:val="4A5A4A4C"/>
    <w:rsid w:val="4A683E01"/>
    <w:rsid w:val="4A69274D"/>
    <w:rsid w:val="4A7142E8"/>
    <w:rsid w:val="4A796AC9"/>
    <w:rsid w:val="4A7B576F"/>
    <w:rsid w:val="4A7F37F3"/>
    <w:rsid w:val="4A814054"/>
    <w:rsid w:val="4A9425D2"/>
    <w:rsid w:val="4A99785B"/>
    <w:rsid w:val="4A9A2385"/>
    <w:rsid w:val="4AA11D0D"/>
    <w:rsid w:val="4AA27B45"/>
    <w:rsid w:val="4AA912F0"/>
    <w:rsid w:val="4AAC7F0C"/>
    <w:rsid w:val="4AC07B51"/>
    <w:rsid w:val="4AC72F91"/>
    <w:rsid w:val="4AE35935"/>
    <w:rsid w:val="4AE472ED"/>
    <w:rsid w:val="4AF561A9"/>
    <w:rsid w:val="4AF94859"/>
    <w:rsid w:val="4AFE55F2"/>
    <w:rsid w:val="4B040BA5"/>
    <w:rsid w:val="4B4D6089"/>
    <w:rsid w:val="4B5160DF"/>
    <w:rsid w:val="4B6750DB"/>
    <w:rsid w:val="4B92484B"/>
    <w:rsid w:val="4B9746DA"/>
    <w:rsid w:val="4B9A0866"/>
    <w:rsid w:val="4B9A26CE"/>
    <w:rsid w:val="4BA30BD1"/>
    <w:rsid w:val="4BC658AA"/>
    <w:rsid w:val="4BD151E6"/>
    <w:rsid w:val="4BD9445C"/>
    <w:rsid w:val="4BDC75E6"/>
    <w:rsid w:val="4BDE11FB"/>
    <w:rsid w:val="4BE9772A"/>
    <w:rsid w:val="4BF47F1C"/>
    <w:rsid w:val="4C1D074C"/>
    <w:rsid w:val="4C310C98"/>
    <w:rsid w:val="4C360232"/>
    <w:rsid w:val="4C425F39"/>
    <w:rsid w:val="4C461407"/>
    <w:rsid w:val="4C4A0649"/>
    <w:rsid w:val="4C507922"/>
    <w:rsid w:val="4C5254B2"/>
    <w:rsid w:val="4C5432F6"/>
    <w:rsid w:val="4C671963"/>
    <w:rsid w:val="4C690E1D"/>
    <w:rsid w:val="4C7E5ECA"/>
    <w:rsid w:val="4C876AA5"/>
    <w:rsid w:val="4CC17EE8"/>
    <w:rsid w:val="4CC44941"/>
    <w:rsid w:val="4CCF21AC"/>
    <w:rsid w:val="4CD12351"/>
    <w:rsid w:val="4CD62394"/>
    <w:rsid w:val="4CD82304"/>
    <w:rsid w:val="4CE01C60"/>
    <w:rsid w:val="4CE77035"/>
    <w:rsid w:val="4CE91E3F"/>
    <w:rsid w:val="4CEB6128"/>
    <w:rsid w:val="4CF33AF7"/>
    <w:rsid w:val="4CFC1142"/>
    <w:rsid w:val="4D03786F"/>
    <w:rsid w:val="4D096F86"/>
    <w:rsid w:val="4D0E00FB"/>
    <w:rsid w:val="4D1505B8"/>
    <w:rsid w:val="4D176606"/>
    <w:rsid w:val="4D1D61BE"/>
    <w:rsid w:val="4D2039B0"/>
    <w:rsid w:val="4D2220C6"/>
    <w:rsid w:val="4D2510A8"/>
    <w:rsid w:val="4D2C45E1"/>
    <w:rsid w:val="4D344388"/>
    <w:rsid w:val="4D4C427E"/>
    <w:rsid w:val="4D6D301E"/>
    <w:rsid w:val="4D7D63A8"/>
    <w:rsid w:val="4D8A59D7"/>
    <w:rsid w:val="4D8C114B"/>
    <w:rsid w:val="4D9466F7"/>
    <w:rsid w:val="4D99113D"/>
    <w:rsid w:val="4DA008E7"/>
    <w:rsid w:val="4DA60927"/>
    <w:rsid w:val="4DAD7027"/>
    <w:rsid w:val="4DAF572C"/>
    <w:rsid w:val="4DC9194B"/>
    <w:rsid w:val="4DC9775E"/>
    <w:rsid w:val="4DD91E76"/>
    <w:rsid w:val="4DEB51F1"/>
    <w:rsid w:val="4DEC4FB0"/>
    <w:rsid w:val="4DFD10BA"/>
    <w:rsid w:val="4E071056"/>
    <w:rsid w:val="4E075D8A"/>
    <w:rsid w:val="4E0833CC"/>
    <w:rsid w:val="4E123C48"/>
    <w:rsid w:val="4E346214"/>
    <w:rsid w:val="4E363153"/>
    <w:rsid w:val="4E380F7C"/>
    <w:rsid w:val="4E385AEA"/>
    <w:rsid w:val="4E3C5ACC"/>
    <w:rsid w:val="4E404187"/>
    <w:rsid w:val="4E4F520A"/>
    <w:rsid w:val="4E540D22"/>
    <w:rsid w:val="4E59568A"/>
    <w:rsid w:val="4E5A603D"/>
    <w:rsid w:val="4E5B77D1"/>
    <w:rsid w:val="4E5F162F"/>
    <w:rsid w:val="4E634CD9"/>
    <w:rsid w:val="4E6525CD"/>
    <w:rsid w:val="4E7229E3"/>
    <w:rsid w:val="4E7A6BF3"/>
    <w:rsid w:val="4E920558"/>
    <w:rsid w:val="4E944358"/>
    <w:rsid w:val="4E9A7ABF"/>
    <w:rsid w:val="4EB71886"/>
    <w:rsid w:val="4EBB3D43"/>
    <w:rsid w:val="4EC00FAD"/>
    <w:rsid w:val="4ED61624"/>
    <w:rsid w:val="4ED93CCB"/>
    <w:rsid w:val="4EE501CD"/>
    <w:rsid w:val="4EE619B7"/>
    <w:rsid w:val="4EF30FA9"/>
    <w:rsid w:val="4EF8150F"/>
    <w:rsid w:val="4F041D07"/>
    <w:rsid w:val="4F0533B2"/>
    <w:rsid w:val="4F131566"/>
    <w:rsid w:val="4F147373"/>
    <w:rsid w:val="4F18319B"/>
    <w:rsid w:val="4F19058C"/>
    <w:rsid w:val="4F3019D1"/>
    <w:rsid w:val="4F605406"/>
    <w:rsid w:val="4F610FE6"/>
    <w:rsid w:val="4F6A1B49"/>
    <w:rsid w:val="4F6E52BD"/>
    <w:rsid w:val="4F6F116F"/>
    <w:rsid w:val="4F831911"/>
    <w:rsid w:val="4F857991"/>
    <w:rsid w:val="4F8A7551"/>
    <w:rsid w:val="4F9843DC"/>
    <w:rsid w:val="4FA114AB"/>
    <w:rsid w:val="4FA846CB"/>
    <w:rsid w:val="4FA84FC9"/>
    <w:rsid w:val="4FAB558F"/>
    <w:rsid w:val="4FB62605"/>
    <w:rsid w:val="4FB96D03"/>
    <w:rsid w:val="4FC62A8C"/>
    <w:rsid w:val="4FDB45F9"/>
    <w:rsid w:val="4FDB76D5"/>
    <w:rsid w:val="4FDD12C3"/>
    <w:rsid w:val="4FE20F0D"/>
    <w:rsid w:val="4FE51552"/>
    <w:rsid w:val="4FFB3EC5"/>
    <w:rsid w:val="501318D7"/>
    <w:rsid w:val="50201DC8"/>
    <w:rsid w:val="502A2D96"/>
    <w:rsid w:val="502A40F3"/>
    <w:rsid w:val="5033143F"/>
    <w:rsid w:val="50416B4F"/>
    <w:rsid w:val="50466E65"/>
    <w:rsid w:val="504906FA"/>
    <w:rsid w:val="504E49CE"/>
    <w:rsid w:val="50504C4B"/>
    <w:rsid w:val="50576E2F"/>
    <w:rsid w:val="505D51B8"/>
    <w:rsid w:val="50952D6A"/>
    <w:rsid w:val="50990AFA"/>
    <w:rsid w:val="509C6E7C"/>
    <w:rsid w:val="50A050A8"/>
    <w:rsid w:val="50A7016E"/>
    <w:rsid w:val="50A8121E"/>
    <w:rsid w:val="50B53513"/>
    <w:rsid w:val="50BF5B2D"/>
    <w:rsid w:val="50CA0C1E"/>
    <w:rsid w:val="50CC0E13"/>
    <w:rsid w:val="50DF0E3D"/>
    <w:rsid w:val="50E67B8A"/>
    <w:rsid w:val="511641BA"/>
    <w:rsid w:val="512876E9"/>
    <w:rsid w:val="512D3114"/>
    <w:rsid w:val="512E65F0"/>
    <w:rsid w:val="512F6823"/>
    <w:rsid w:val="51343BF1"/>
    <w:rsid w:val="51351EDF"/>
    <w:rsid w:val="51583D23"/>
    <w:rsid w:val="5162104E"/>
    <w:rsid w:val="517375F9"/>
    <w:rsid w:val="517B1A74"/>
    <w:rsid w:val="51902CA1"/>
    <w:rsid w:val="519E24DF"/>
    <w:rsid w:val="51A24FBC"/>
    <w:rsid w:val="51A76A58"/>
    <w:rsid w:val="51A80D60"/>
    <w:rsid w:val="51A90A0F"/>
    <w:rsid w:val="51BE3CBA"/>
    <w:rsid w:val="51C14C16"/>
    <w:rsid w:val="51C23F05"/>
    <w:rsid w:val="51D97FE0"/>
    <w:rsid w:val="51DD6BC9"/>
    <w:rsid w:val="51E21858"/>
    <w:rsid w:val="51E7407F"/>
    <w:rsid w:val="51EB1FB2"/>
    <w:rsid w:val="51F341D9"/>
    <w:rsid w:val="51F55CF8"/>
    <w:rsid w:val="52174292"/>
    <w:rsid w:val="521D2162"/>
    <w:rsid w:val="5222631E"/>
    <w:rsid w:val="5232433A"/>
    <w:rsid w:val="52325621"/>
    <w:rsid w:val="52372126"/>
    <w:rsid w:val="52416969"/>
    <w:rsid w:val="52515613"/>
    <w:rsid w:val="5263591C"/>
    <w:rsid w:val="5271220B"/>
    <w:rsid w:val="527252B8"/>
    <w:rsid w:val="52797FFB"/>
    <w:rsid w:val="5284297F"/>
    <w:rsid w:val="529606DF"/>
    <w:rsid w:val="529854F3"/>
    <w:rsid w:val="52A94A5B"/>
    <w:rsid w:val="52C25047"/>
    <w:rsid w:val="52D15237"/>
    <w:rsid w:val="52D82C8F"/>
    <w:rsid w:val="52DA3931"/>
    <w:rsid w:val="52E77A6D"/>
    <w:rsid w:val="52E86232"/>
    <w:rsid w:val="52EB7F7B"/>
    <w:rsid w:val="52EF3524"/>
    <w:rsid w:val="52F74E5F"/>
    <w:rsid w:val="531118D0"/>
    <w:rsid w:val="53171C4D"/>
    <w:rsid w:val="532B1A4B"/>
    <w:rsid w:val="532B680C"/>
    <w:rsid w:val="534427CF"/>
    <w:rsid w:val="53461E0E"/>
    <w:rsid w:val="536F17F8"/>
    <w:rsid w:val="53782342"/>
    <w:rsid w:val="538921B1"/>
    <w:rsid w:val="53915852"/>
    <w:rsid w:val="539B0D9B"/>
    <w:rsid w:val="53A039CC"/>
    <w:rsid w:val="53A1505A"/>
    <w:rsid w:val="53A45F15"/>
    <w:rsid w:val="53A513DD"/>
    <w:rsid w:val="53B53C94"/>
    <w:rsid w:val="53BE1D50"/>
    <w:rsid w:val="53C019CF"/>
    <w:rsid w:val="53CA67FE"/>
    <w:rsid w:val="53CD5E09"/>
    <w:rsid w:val="53D54CF9"/>
    <w:rsid w:val="53F266B1"/>
    <w:rsid w:val="53FC752F"/>
    <w:rsid w:val="54052846"/>
    <w:rsid w:val="54063E08"/>
    <w:rsid w:val="54065CBA"/>
    <w:rsid w:val="54081C2B"/>
    <w:rsid w:val="54083D51"/>
    <w:rsid w:val="540C74B0"/>
    <w:rsid w:val="541409EE"/>
    <w:rsid w:val="54192166"/>
    <w:rsid w:val="543437E8"/>
    <w:rsid w:val="545008AF"/>
    <w:rsid w:val="54543890"/>
    <w:rsid w:val="54553EAB"/>
    <w:rsid w:val="54561543"/>
    <w:rsid w:val="545E483F"/>
    <w:rsid w:val="545E6407"/>
    <w:rsid w:val="54643604"/>
    <w:rsid w:val="547B3F22"/>
    <w:rsid w:val="548668AB"/>
    <w:rsid w:val="549E1D1C"/>
    <w:rsid w:val="54AA1787"/>
    <w:rsid w:val="54AB1398"/>
    <w:rsid w:val="54BD01B0"/>
    <w:rsid w:val="54C722B7"/>
    <w:rsid w:val="54D0167A"/>
    <w:rsid w:val="54D801BD"/>
    <w:rsid w:val="54F73313"/>
    <w:rsid w:val="54F80955"/>
    <w:rsid w:val="54FB1C38"/>
    <w:rsid w:val="54FE00DA"/>
    <w:rsid w:val="55005219"/>
    <w:rsid w:val="550363A3"/>
    <w:rsid w:val="55286102"/>
    <w:rsid w:val="55326317"/>
    <w:rsid w:val="554023AF"/>
    <w:rsid w:val="55476B79"/>
    <w:rsid w:val="554F66E1"/>
    <w:rsid w:val="555170A7"/>
    <w:rsid w:val="55576BBB"/>
    <w:rsid w:val="5559256A"/>
    <w:rsid w:val="5576384B"/>
    <w:rsid w:val="55834C6A"/>
    <w:rsid w:val="5587536D"/>
    <w:rsid w:val="558E7985"/>
    <w:rsid w:val="55972826"/>
    <w:rsid w:val="559B174B"/>
    <w:rsid w:val="559B2945"/>
    <w:rsid w:val="55A44430"/>
    <w:rsid w:val="55A6450E"/>
    <w:rsid w:val="55C21267"/>
    <w:rsid w:val="55C416C0"/>
    <w:rsid w:val="55CE0CF4"/>
    <w:rsid w:val="55D77FE9"/>
    <w:rsid w:val="55D823EC"/>
    <w:rsid w:val="55E34EDA"/>
    <w:rsid w:val="55E354D7"/>
    <w:rsid w:val="55F01196"/>
    <w:rsid w:val="55F952DA"/>
    <w:rsid w:val="55F96BF1"/>
    <w:rsid w:val="561908B4"/>
    <w:rsid w:val="56220BE5"/>
    <w:rsid w:val="562C38FC"/>
    <w:rsid w:val="562E0666"/>
    <w:rsid w:val="56546A30"/>
    <w:rsid w:val="565718E8"/>
    <w:rsid w:val="56595019"/>
    <w:rsid w:val="566521F1"/>
    <w:rsid w:val="5669134D"/>
    <w:rsid w:val="567232CC"/>
    <w:rsid w:val="56766BB5"/>
    <w:rsid w:val="567A1AE3"/>
    <w:rsid w:val="56813685"/>
    <w:rsid w:val="568538AF"/>
    <w:rsid w:val="56877C56"/>
    <w:rsid w:val="568F583E"/>
    <w:rsid w:val="56A353DB"/>
    <w:rsid w:val="56B22A9C"/>
    <w:rsid w:val="56C964CC"/>
    <w:rsid w:val="56D235C0"/>
    <w:rsid w:val="56D76FBC"/>
    <w:rsid w:val="56D84D86"/>
    <w:rsid w:val="56DB3EA8"/>
    <w:rsid w:val="56DC5048"/>
    <w:rsid w:val="56E56932"/>
    <w:rsid w:val="56FE31F5"/>
    <w:rsid w:val="5704713C"/>
    <w:rsid w:val="574D0481"/>
    <w:rsid w:val="57517FA3"/>
    <w:rsid w:val="575B5891"/>
    <w:rsid w:val="578A14A3"/>
    <w:rsid w:val="57B03D1D"/>
    <w:rsid w:val="57B50687"/>
    <w:rsid w:val="57B72A76"/>
    <w:rsid w:val="57C3426C"/>
    <w:rsid w:val="57CB39AF"/>
    <w:rsid w:val="57CE1F93"/>
    <w:rsid w:val="58062224"/>
    <w:rsid w:val="580B5816"/>
    <w:rsid w:val="58203152"/>
    <w:rsid w:val="58227A77"/>
    <w:rsid w:val="582B0D0B"/>
    <w:rsid w:val="584146F4"/>
    <w:rsid w:val="58416310"/>
    <w:rsid w:val="58473575"/>
    <w:rsid w:val="584D36D3"/>
    <w:rsid w:val="585C0DBB"/>
    <w:rsid w:val="58636FCF"/>
    <w:rsid w:val="587379D7"/>
    <w:rsid w:val="5875757B"/>
    <w:rsid w:val="587F414B"/>
    <w:rsid w:val="58844974"/>
    <w:rsid w:val="588743D1"/>
    <w:rsid w:val="5887701A"/>
    <w:rsid w:val="588B7AC6"/>
    <w:rsid w:val="58A01EEF"/>
    <w:rsid w:val="58AE7193"/>
    <w:rsid w:val="58B67DC6"/>
    <w:rsid w:val="58C02441"/>
    <w:rsid w:val="58C1030C"/>
    <w:rsid w:val="58CC030F"/>
    <w:rsid w:val="58CF6A41"/>
    <w:rsid w:val="58D33292"/>
    <w:rsid w:val="58D37299"/>
    <w:rsid w:val="58D930EF"/>
    <w:rsid w:val="58E14F75"/>
    <w:rsid w:val="58E64E15"/>
    <w:rsid w:val="58F17F9A"/>
    <w:rsid w:val="58FE366F"/>
    <w:rsid w:val="591443CF"/>
    <w:rsid w:val="591F2BE0"/>
    <w:rsid w:val="5927006C"/>
    <w:rsid w:val="59295D58"/>
    <w:rsid w:val="592D0935"/>
    <w:rsid w:val="59316EBD"/>
    <w:rsid w:val="59355E04"/>
    <w:rsid w:val="5938529C"/>
    <w:rsid w:val="59442F38"/>
    <w:rsid w:val="595F5340"/>
    <w:rsid w:val="59630367"/>
    <w:rsid w:val="598F4257"/>
    <w:rsid w:val="599D6464"/>
    <w:rsid w:val="59A05059"/>
    <w:rsid w:val="59A83C1C"/>
    <w:rsid w:val="59AF611B"/>
    <w:rsid w:val="59B00313"/>
    <w:rsid w:val="59B12B85"/>
    <w:rsid w:val="59C0439F"/>
    <w:rsid w:val="59D810DA"/>
    <w:rsid w:val="59E2120E"/>
    <w:rsid w:val="59EC3E91"/>
    <w:rsid w:val="59F7106E"/>
    <w:rsid w:val="5A0933A9"/>
    <w:rsid w:val="5A0B041F"/>
    <w:rsid w:val="5A0D4234"/>
    <w:rsid w:val="5A13468C"/>
    <w:rsid w:val="5A177AED"/>
    <w:rsid w:val="5A187CD7"/>
    <w:rsid w:val="5A1A2B00"/>
    <w:rsid w:val="5A276243"/>
    <w:rsid w:val="5A324FB2"/>
    <w:rsid w:val="5A4B52B2"/>
    <w:rsid w:val="5A4E6980"/>
    <w:rsid w:val="5A4F11FA"/>
    <w:rsid w:val="5A540CFD"/>
    <w:rsid w:val="5A5423AA"/>
    <w:rsid w:val="5A6E78A3"/>
    <w:rsid w:val="5A7024AF"/>
    <w:rsid w:val="5A7905AA"/>
    <w:rsid w:val="5A835B10"/>
    <w:rsid w:val="5A8735AE"/>
    <w:rsid w:val="5A941811"/>
    <w:rsid w:val="5A975083"/>
    <w:rsid w:val="5AA81D80"/>
    <w:rsid w:val="5AAC30A3"/>
    <w:rsid w:val="5AAE002D"/>
    <w:rsid w:val="5AB35558"/>
    <w:rsid w:val="5ABE2233"/>
    <w:rsid w:val="5AC93EE4"/>
    <w:rsid w:val="5AD45C78"/>
    <w:rsid w:val="5AD9317E"/>
    <w:rsid w:val="5ADE51BC"/>
    <w:rsid w:val="5AEB29ED"/>
    <w:rsid w:val="5AEB56EA"/>
    <w:rsid w:val="5AEC5DA3"/>
    <w:rsid w:val="5AF66C04"/>
    <w:rsid w:val="5AF87AA2"/>
    <w:rsid w:val="5AFD34B5"/>
    <w:rsid w:val="5B0C184E"/>
    <w:rsid w:val="5B0D784C"/>
    <w:rsid w:val="5B17042A"/>
    <w:rsid w:val="5B2575EE"/>
    <w:rsid w:val="5B2A3C79"/>
    <w:rsid w:val="5B4A6BB0"/>
    <w:rsid w:val="5B524C37"/>
    <w:rsid w:val="5B5255E5"/>
    <w:rsid w:val="5B5311CF"/>
    <w:rsid w:val="5B557FC2"/>
    <w:rsid w:val="5B744B37"/>
    <w:rsid w:val="5B770560"/>
    <w:rsid w:val="5B7B1876"/>
    <w:rsid w:val="5B85605C"/>
    <w:rsid w:val="5B902CE0"/>
    <w:rsid w:val="5B926433"/>
    <w:rsid w:val="5BA13A4F"/>
    <w:rsid w:val="5BA65ACE"/>
    <w:rsid w:val="5BAD6A24"/>
    <w:rsid w:val="5BC6455F"/>
    <w:rsid w:val="5BC74BA2"/>
    <w:rsid w:val="5BD328A3"/>
    <w:rsid w:val="5BDF5D95"/>
    <w:rsid w:val="5BE00F06"/>
    <w:rsid w:val="5BE7281C"/>
    <w:rsid w:val="5BFE7528"/>
    <w:rsid w:val="5C062FDD"/>
    <w:rsid w:val="5C0D5384"/>
    <w:rsid w:val="5C15338C"/>
    <w:rsid w:val="5C1A745C"/>
    <w:rsid w:val="5C2335E9"/>
    <w:rsid w:val="5C263847"/>
    <w:rsid w:val="5C3A6093"/>
    <w:rsid w:val="5C5A211D"/>
    <w:rsid w:val="5C602626"/>
    <w:rsid w:val="5C6579E0"/>
    <w:rsid w:val="5C6F7EB5"/>
    <w:rsid w:val="5C70207E"/>
    <w:rsid w:val="5C8F7387"/>
    <w:rsid w:val="5C95395D"/>
    <w:rsid w:val="5CAA3A8B"/>
    <w:rsid w:val="5CB0535B"/>
    <w:rsid w:val="5CB75856"/>
    <w:rsid w:val="5CC109C3"/>
    <w:rsid w:val="5CC92AF5"/>
    <w:rsid w:val="5CD47FB4"/>
    <w:rsid w:val="5CDB0F6B"/>
    <w:rsid w:val="5CE24554"/>
    <w:rsid w:val="5CF12CC0"/>
    <w:rsid w:val="5D0029AF"/>
    <w:rsid w:val="5D133A8E"/>
    <w:rsid w:val="5D2320C9"/>
    <w:rsid w:val="5D2770C6"/>
    <w:rsid w:val="5D321B55"/>
    <w:rsid w:val="5D3703F6"/>
    <w:rsid w:val="5D3F5B2D"/>
    <w:rsid w:val="5D592442"/>
    <w:rsid w:val="5D630619"/>
    <w:rsid w:val="5D6422E8"/>
    <w:rsid w:val="5D6677C8"/>
    <w:rsid w:val="5D6F2B79"/>
    <w:rsid w:val="5D8E07F9"/>
    <w:rsid w:val="5D94747E"/>
    <w:rsid w:val="5DA87015"/>
    <w:rsid w:val="5DBF512A"/>
    <w:rsid w:val="5DC13A25"/>
    <w:rsid w:val="5DD11EAA"/>
    <w:rsid w:val="5DD60B60"/>
    <w:rsid w:val="5DD959D2"/>
    <w:rsid w:val="5DDB1582"/>
    <w:rsid w:val="5DE13B48"/>
    <w:rsid w:val="5DEB046C"/>
    <w:rsid w:val="5E043FCF"/>
    <w:rsid w:val="5E0A23E2"/>
    <w:rsid w:val="5E2467F1"/>
    <w:rsid w:val="5E276A9A"/>
    <w:rsid w:val="5E346E01"/>
    <w:rsid w:val="5E3A7E9E"/>
    <w:rsid w:val="5E5D2FDA"/>
    <w:rsid w:val="5E715F41"/>
    <w:rsid w:val="5E741444"/>
    <w:rsid w:val="5E824AD5"/>
    <w:rsid w:val="5E9B4057"/>
    <w:rsid w:val="5E9B5E4D"/>
    <w:rsid w:val="5EBB676E"/>
    <w:rsid w:val="5EC27AE4"/>
    <w:rsid w:val="5EE559A1"/>
    <w:rsid w:val="5EF01530"/>
    <w:rsid w:val="5EF37781"/>
    <w:rsid w:val="5F10156E"/>
    <w:rsid w:val="5F1A2B43"/>
    <w:rsid w:val="5F440795"/>
    <w:rsid w:val="5F474D34"/>
    <w:rsid w:val="5F635895"/>
    <w:rsid w:val="5F863439"/>
    <w:rsid w:val="5F973605"/>
    <w:rsid w:val="5F9F48D5"/>
    <w:rsid w:val="5FA23878"/>
    <w:rsid w:val="5FA73E94"/>
    <w:rsid w:val="5FB62449"/>
    <w:rsid w:val="5FB837BB"/>
    <w:rsid w:val="5FCA658C"/>
    <w:rsid w:val="5FD45C92"/>
    <w:rsid w:val="5FF50E14"/>
    <w:rsid w:val="60050642"/>
    <w:rsid w:val="600D2C5B"/>
    <w:rsid w:val="600E3722"/>
    <w:rsid w:val="60155341"/>
    <w:rsid w:val="6022409C"/>
    <w:rsid w:val="603628CE"/>
    <w:rsid w:val="603D79E4"/>
    <w:rsid w:val="60444E01"/>
    <w:rsid w:val="605103F4"/>
    <w:rsid w:val="606C04B3"/>
    <w:rsid w:val="607050A1"/>
    <w:rsid w:val="607E6B08"/>
    <w:rsid w:val="60807BFF"/>
    <w:rsid w:val="60854833"/>
    <w:rsid w:val="60892EEC"/>
    <w:rsid w:val="608D2642"/>
    <w:rsid w:val="60AA0313"/>
    <w:rsid w:val="60C2510C"/>
    <w:rsid w:val="60C76FFF"/>
    <w:rsid w:val="60C80280"/>
    <w:rsid w:val="60CA5BDC"/>
    <w:rsid w:val="60CC405A"/>
    <w:rsid w:val="60D77A04"/>
    <w:rsid w:val="60EC4CBE"/>
    <w:rsid w:val="60FC28E0"/>
    <w:rsid w:val="61136C92"/>
    <w:rsid w:val="61236414"/>
    <w:rsid w:val="61276F4F"/>
    <w:rsid w:val="613230B4"/>
    <w:rsid w:val="613E3557"/>
    <w:rsid w:val="614220A0"/>
    <w:rsid w:val="615F32E5"/>
    <w:rsid w:val="616808E3"/>
    <w:rsid w:val="617D0E97"/>
    <w:rsid w:val="61B37DB2"/>
    <w:rsid w:val="61BB68F4"/>
    <w:rsid w:val="61BF3493"/>
    <w:rsid w:val="61C10F71"/>
    <w:rsid w:val="61D73038"/>
    <w:rsid w:val="61DD544D"/>
    <w:rsid w:val="61E215D8"/>
    <w:rsid w:val="61EB0C96"/>
    <w:rsid w:val="621B3775"/>
    <w:rsid w:val="621B3DCF"/>
    <w:rsid w:val="621F3542"/>
    <w:rsid w:val="622E084F"/>
    <w:rsid w:val="62344A4F"/>
    <w:rsid w:val="62364782"/>
    <w:rsid w:val="6245082D"/>
    <w:rsid w:val="62551E19"/>
    <w:rsid w:val="62570E11"/>
    <w:rsid w:val="625C53C9"/>
    <w:rsid w:val="626C7F85"/>
    <w:rsid w:val="62883F51"/>
    <w:rsid w:val="629028F4"/>
    <w:rsid w:val="629721C1"/>
    <w:rsid w:val="629B06D4"/>
    <w:rsid w:val="62A46FF0"/>
    <w:rsid w:val="62A809F2"/>
    <w:rsid w:val="62B23EFA"/>
    <w:rsid w:val="62C6573D"/>
    <w:rsid w:val="62C82313"/>
    <w:rsid w:val="62D13F91"/>
    <w:rsid w:val="62DC646C"/>
    <w:rsid w:val="62F20750"/>
    <w:rsid w:val="62F65D03"/>
    <w:rsid w:val="63024469"/>
    <w:rsid w:val="630263D7"/>
    <w:rsid w:val="63044341"/>
    <w:rsid w:val="63094524"/>
    <w:rsid w:val="630A1713"/>
    <w:rsid w:val="63101E7F"/>
    <w:rsid w:val="63361FC2"/>
    <w:rsid w:val="6337123B"/>
    <w:rsid w:val="63402994"/>
    <w:rsid w:val="63555A2E"/>
    <w:rsid w:val="636643C9"/>
    <w:rsid w:val="636B75A2"/>
    <w:rsid w:val="636C6FDA"/>
    <w:rsid w:val="63757D6E"/>
    <w:rsid w:val="638845DE"/>
    <w:rsid w:val="6394356A"/>
    <w:rsid w:val="63A44EF3"/>
    <w:rsid w:val="63A57F18"/>
    <w:rsid w:val="63B726B0"/>
    <w:rsid w:val="63BA0265"/>
    <w:rsid w:val="63BA0390"/>
    <w:rsid w:val="63C61B2C"/>
    <w:rsid w:val="63D40BE9"/>
    <w:rsid w:val="63DB3580"/>
    <w:rsid w:val="63DE0642"/>
    <w:rsid w:val="640230D2"/>
    <w:rsid w:val="6404123C"/>
    <w:rsid w:val="64102431"/>
    <w:rsid w:val="64131F12"/>
    <w:rsid w:val="641A1A25"/>
    <w:rsid w:val="641B3470"/>
    <w:rsid w:val="641F73AC"/>
    <w:rsid w:val="64582856"/>
    <w:rsid w:val="646237FA"/>
    <w:rsid w:val="6475213A"/>
    <w:rsid w:val="647B7609"/>
    <w:rsid w:val="647E40D5"/>
    <w:rsid w:val="647F264B"/>
    <w:rsid w:val="6489557F"/>
    <w:rsid w:val="64954766"/>
    <w:rsid w:val="64991C24"/>
    <w:rsid w:val="64A5243A"/>
    <w:rsid w:val="64A97865"/>
    <w:rsid w:val="64C76F37"/>
    <w:rsid w:val="64CF6117"/>
    <w:rsid w:val="64DA483F"/>
    <w:rsid w:val="64E47717"/>
    <w:rsid w:val="64EC0EFA"/>
    <w:rsid w:val="64EF2799"/>
    <w:rsid w:val="64F42D39"/>
    <w:rsid w:val="64F531DE"/>
    <w:rsid w:val="64F771E4"/>
    <w:rsid w:val="64FB0EFD"/>
    <w:rsid w:val="64FF0F4A"/>
    <w:rsid w:val="65004097"/>
    <w:rsid w:val="651228F6"/>
    <w:rsid w:val="65157FAA"/>
    <w:rsid w:val="651D6269"/>
    <w:rsid w:val="651F6DF7"/>
    <w:rsid w:val="652B3B15"/>
    <w:rsid w:val="65337355"/>
    <w:rsid w:val="6533751D"/>
    <w:rsid w:val="6537197E"/>
    <w:rsid w:val="65373578"/>
    <w:rsid w:val="654A79DE"/>
    <w:rsid w:val="654D7409"/>
    <w:rsid w:val="65604091"/>
    <w:rsid w:val="656C2A96"/>
    <w:rsid w:val="656F0AC0"/>
    <w:rsid w:val="657252B9"/>
    <w:rsid w:val="658C6040"/>
    <w:rsid w:val="658C6917"/>
    <w:rsid w:val="65906AC5"/>
    <w:rsid w:val="6596271A"/>
    <w:rsid w:val="65A226B8"/>
    <w:rsid w:val="65AD0C62"/>
    <w:rsid w:val="65C27B45"/>
    <w:rsid w:val="65C9123C"/>
    <w:rsid w:val="65C92301"/>
    <w:rsid w:val="65CA11F5"/>
    <w:rsid w:val="65D8767C"/>
    <w:rsid w:val="65DE4CE7"/>
    <w:rsid w:val="65E0322B"/>
    <w:rsid w:val="65E61D6A"/>
    <w:rsid w:val="65EB3C38"/>
    <w:rsid w:val="65F86718"/>
    <w:rsid w:val="65FA658F"/>
    <w:rsid w:val="6601512A"/>
    <w:rsid w:val="66073DF2"/>
    <w:rsid w:val="66180C71"/>
    <w:rsid w:val="66186456"/>
    <w:rsid w:val="66313A05"/>
    <w:rsid w:val="663C729B"/>
    <w:rsid w:val="66426D47"/>
    <w:rsid w:val="664A3290"/>
    <w:rsid w:val="665541D2"/>
    <w:rsid w:val="6659611C"/>
    <w:rsid w:val="66634E3D"/>
    <w:rsid w:val="667E0188"/>
    <w:rsid w:val="667E2A79"/>
    <w:rsid w:val="66827113"/>
    <w:rsid w:val="66872311"/>
    <w:rsid w:val="6687300C"/>
    <w:rsid w:val="66A66F02"/>
    <w:rsid w:val="66C93243"/>
    <w:rsid w:val="66DB259F"/>
    <w:rsid w:val="66F914BF"/>
    <w:rsid w:val="67004CF5"/>
    <w:rsid w:val="6702779F"/>
    <w:rsid w:val="67027AFA"/>
    <w:rsid w:val="670B539F"/>
    <w:rsid w:val="67162137"/>
    <w:rsid w:val="671F124A"/>
    <w:rsid w:val="671F35DA"/>
    <w:rsid w:val="672574DD"/>
    <w:rsid w:val="673A3A29"/>
    <w:rsid w:val="673F1329"/>
    <w:rsid w:val="674463B4"/>
    <w:rsid w:val="6752386B"/>
    <w:rsid w:val="67524DB4"/>
    <w:rsid w:val="675608AD"/>
    <w:rsid w:val="675A273B"/>
    <w:rsid w:val="677550D9"/>
    <w:rsid w:val="677A33C6"/>
    <w:rsid w:val="677F24EB"/>
    <w:rsid w:val="678E3D1E"/>
    <w:rsid w:val="678E7362"/>
    <w:rsid w:val="679710B1"/>
    <w:rsid w:val="679C45BC"/>
    <w:rsid w:val="67A4478A"/>
    <w:rsid w:val="67B9333A"/>
    <w:rsid w:val="67CD163A"/>
    <w:rsid w:val="67CF0D2B"/>
    <w:rsid w:val="67F647B1"/>
    <w:rsid w:val="68124EA3"/>
    <w:rsid w:val="68170AAE"/>
    <w:rsid w:val="681F6961"/>
    <w:rsid w:val="68246134"/>
    <w:rsid w:val="68392BA6"/>
    <w:rsid w:val="68443940"/>
    <w:rsid w:val="68610A2F"/>
    <w:rsid w:val="68677D35"/>
    <w:rsid w:val="686B1DF6"/>
    <w:rsid w:val="686C1114"/>
    <w:rsid w:val="686D76A6"/>
    <w:rsid w:val="68805514"/>
    <w:rsid w:val="688957E9"/>
    <w:rsid w:val="689E6ADC"/>
    <w:rsid w:val="689F4E93"/>
    <w:rsid w:val="68B23568"/>
    <w:rsid w:val="68C05D7A"/>
    <w:rsid w:val="68C41D94"/>
    <w:rsid w:val="68CE7E5A"/>
    <w:rsid w:val="68D32D18"/>
    <w:rsid w:val="68D7644E"/>
    <w:rsid w:val="68D87969"/>
    <w:rsid w:val="68F87EF1"/>
    <w:rsid w:val="69000AEE"/>
    <w:rsid w:val="692B69D7"/>
    <w:rsid w:val="692C1756"/>
    <w:rsid w:val="69316E2F"/>
    <w:rsid w:val="693910F5"/>
    <w:rsid w:val="693B7D5A"/>
    <w:rsid w:val="693D1C6D"/>
    <w:rsid w:val="69462956"/>
    <w:rsid w:val="69472F43"/>
    <w:rsid w:val="694C20F3"/>
    <w:rsid w:val="694E2071"/>
    <w:rsid w:val="694E5BDE"/>
    <w:rsid w:val="69524961"/>
    <w:rsid w:val="69613C9D"/>
    <w:rsid w:val="69766163"/>
    <w:rsid w:val="69766B57"/>
    <w:rsid w:val="697A3B33"/>
    <w:rsid w:val="69834E98"/>
    <w:rsid w:val="69866BE7"/>
    <w:rsid w:val="69887433"/>
    <w:rsid w:val="69901444"/>
    <w:rsid w:val="69A67DB5"/>
    <w:rsid w:val="69A701DB"/>
    <w:rsid w:val="69A83CBB"/>
    <w:rsid w:val="69AE03F5"/>
    <w:rsid w:val="69BE2555"/>
    <w:rsid w:val="69C540FF"/>
    <w:rsid w:val="69D44760"/>
    <w:rsid w:val="69DC1292"/>
    <w:rsid w:val="69EA352F"/>
    <w:rsid w:val="69ED2F85"/>
    <w:rsid w:val="69F21049"/>
    <w:rsid w:val="69F94B66"/>
    <w:rsid w:val="69FF4D39"/>
    <w:rsid w:val="6A02042E"/>
    <w:rsid w:val="6A0632DA"/>
    <w:rsid w:val="6A0A2367"/>
    <w:rsid w:val="6A121AAA"/>
    <w:rsid w:val="6A291CBB"/>
    <w:rsid w:val="6A2B2F0F"/>
    <w:rsid w:val="6A520EC7"/>
    <w:rsid w:val="6A550787"/>
    <w:rsid w:val="6A654B39"/>
    <w:rsid w:val="6A6C21D0"/>
    <w:rsid w:val="6A7B0FE0"/>
    <w:rsid w:val="6A8146EE"/>
    <w:rsid w:val="6AAE0D26"/>
    <w:rsid w:val="6AB430CE"/>
    <w:rsid w:val="6AC23DF8"/>
    <w:rsid w:val="6AE0083F"/>
    <w:rsid w:val="6AE42B4F"/>
    <w:rsid w:val="6AF44240"/>
    <w:rsid w:val="6AF87E20"/>
    <w:rsid w:val="6B011D8A"/>
    <w:rsid w:val="6B0F5943"/>
    <w:rsid w:val="6B137532"/>
    <w:rsid w:val="6B140E04"/>
    <w:rsid w:val="6B1C4232"/>
    <w:rsid w:val="6B244599"/>
    <w:rsid w:val="6B322639"/>
    <w:rsid w:val="6B3C068A"/>
    <w:rsid w:val="6B3C4977"/>
    <w:rsid w:val="6B415E4F"/>
    <w:rsid w:val="6B5F5881"/>
    <w:rsid w:val="6B654081"/>
    <w:rsid w:val="6B73469F"/>
    <w:rsid w:val="6B8934D2"/>
    <w:rsid w:val="6BA93C7E"/>
    <w:rsid w:val="6BA93FC4"/>
    <w:rsid w:val="6BAE1FE0"/>
    <w:rsid w:val="6BC02799"/>
    <w:rsid w:val="6BDB38F2"/>
    <w:rsid w:val="6BE12D10"/>
    <w:rsid w:val="6BF97CE0"/>
    <w:rsid w:val="6C0134DD"/>
    <w:rsid w:val="6C016B7C"/>
    <w:rsid w:val="6C016CE8"/>
    <w:rsid w:val="6C07661A"/>
    <w:rsid w:val="6C0B3A03"/>
    <w:rsid w:val="6C161F0F"/>
    <w:rsid w:val="6C2C09D8"/>
    <w:rsid w:val="6C3567D3"/>
    <w:rsid w:val="6C373874"/>
    <w:rsid w:val="6C3D2676"/>
    <w:rsid w:val="6C457617"/>
    <w:rsid w:val="6C4E2095"/>
    <w:rsid w:val="6C5D623A"/>
    <w:rsid w:val="6C613007"/>
    <w:rsid w:val="6C615A90"/>
    <w:rsid w:val="6C636C38"/>
    <w:rsid w:val="6C6A4304"/>
    <w:rsid w:val="6C6D1E1E"/>
    <w:rsid w:val="6C7C7493"/>
    <w:rsid w:val="6C7D426C"/>
    <w:rsid w:val="6C8235BE"/>
    <w:rsid w:val="6C942006"/>
    <w:rsid w:val="6CA53E1C"/>
    <w:rsid w:val="6CCA457A"/>
    <w:rsid w:val="6CD8592D"/>
    <w:rsid w:val="6CD90912"/>
    <w:rsid w:val="6CDC47A4"/>
    <w:rsid w:val="6CDE6E9E"/>
    <w:rsid w:val="6CE04DDE"/>
    <w:rsid w:val="6CF53D97"/>
    <w:rsid w:val="6CFC7E0A"/>
    <w:rsid w:val="6D0C1917"/>
    <w:rsid w:val="6D134E32"/>
    <w:rsid w:val="6D2107D0"/>
    <w:rsid w:val="6D31654B"/>
    <w:rsid w:val="6D34343E"/>
    <w:rsid w:val="6D380B24"/>
    <w:rsid w:val="6D3C6A97"/>
    <w:rsid w:val="6D50391F"/>
    <w:rsid w:val="6D5C49DC"/>
    <w:rsid w:val="6D603588"/>
    <w:rsid w:val="6D613E39"/>
    <w:rsid w:val="6D682F0E"/>
    <w:rsid w:val="6D7568B4"/>
    <w:rsid w:val="6D8D5A15"/>
    <w:rsid w:val="6D936808"/>
    <w:rsid w:val="6D9500A6"/>
    <w:rsid w:val="6D9F0619"/>
    <w:rsid w:val="6DA1470A"/>
    <w:rsid w:val="6DAA2080"/>
    <w:rsid w:val="6DB34098"/>
    <w:rsid w:val="6DB545B6"/>
    <w:rsid w:val="6DB75E47"/>
    <w:rsid w:val="6DB91902"/>
    <w:rsid w:val="6DBC4E18"/>
    <w:rsid w:val="6DC71D0A"/>
    <w:rsid w:val="6DCD2405"/>
    <w:rsid w:val="6DD04EA1"/>
    <w:rsid w:val="6DD9266E"/>
    <w:rsid w:val="6DE02FB4"/>
    <w:rsid w:val="6DE80452"/>
    <w:rsid w:val="6DF52167"/>
    <w:rsid w:val="6E22162D"/>
    <w:rsid w:val="6E26547D"/>
    <w:rsid w:val="6E457BF6"/>
    <w:rsid w:val="6E476EC0"/>
    <w:rsid w:val="6E494CC7"/>
    <w:rsid w:val="6E514CED"/>
    <w:rsid w:val="6E6930C9"/>
    <w:rsid w:val="6E706CB1"/>
    <w:rsid w:val="6EA624F0"/>
    <w:rsid w:val="6EB563D5"/>
    <w:rsid w:val="6ED92677"/>
    <w:rsid w:val="6EDC115B"/>
    <w:rsid w:val="6EE342DC"/>
    <w:rsid w:val="6EEB4FBA"/>
    <w:rsid w:val="6EED0A16"/>
    <w:rsid w:val="6EFE493F"/>
    <w:rsid w:val="6F0155A2"/>
    <w:rsid w:val="6F062F9C"/>
    <w:rsid w:val="6F081827"/>
    <w:rsid w:val="6F0D0CD3"/>
    <w:rsid w:val="6F225983"/>
    <w:rsid w:val="6F26325B"/>
    <w:rsid w:val="6F4A583A"/>
    <w:rsid w:val="6F5324C4"/>
    <w:rsid w:val="6F5353A1"/>
    <w:rsid w:val="6F561060"/>
    <w:rsid w:val="6F584873"/>
    <w:rsid w:val="6F5D7720"/>
    <w:rsid w:val="6F6C3363"/>
    <w:rsid w:val="6F997ED1"/>
    <w:rsid w:val="6FB23459"/>
    <w:rsid w:val="6FBD2E61"/>
    <w:rsid w:val="6FC265F3"/>
    <w:rsid w:val="6FCA2CE2"/>
    <w:rsid w:val="6FCB557E"/>
    <w:rsid w:val="6FD17A07"/>
    <w:rsid w:val="6FE37696"/>
    <w:rsid w:val="6FE75E20"/>
    <w:rsid w:val="6FF02475"/>
    <w:rsid w:val="6FFC5590"/>
    <w:rsid w:val="6FFD3971"/>
    <w:rsid w:val="700D50D2"/>
    <w:rsid w:val="70140193"/>
    <w:rsid w:val="701831A3"/>
    <w:rsid w:val="70187EAB"/>
    <w:rsid w:val="701B1225"/>
    <w:rsid w:val="7024732A"/>
    <w:rsid w:val="702576F5"/>
    <w:rsid w:val="702A4CF8"/>
    <w:rsid w:val="70396B29"/>
    <w:rsid w:val="706D1DD0"/>
    <w:rsid w:val="707D50FC"/>
    <w:rsid w:val="70856B87"/>
    <w:rsid w:val="709F4873"/>
    <w:rsid w:val="70C643AD"/>
    <w:rsid w:val="70C8281B"/>
    <w:rsid w:val="70D16DE0"/>
    <w:rsid w:val="70D527EE"/>
    <w:rsid w:val="70D77C4F"/>
    <w:rsid w:val="70D9302A"/>
    <w:rsid w:val="70E065D7"/>
    <w:rsid w:val="70FC57B1"/>
    <w:rsid w:val="711054B0"/>
    <w:rsid w:val="71107D1F"/>
    <w:rsid w:val="7115648A"/>
    <w:rsid w:val="71176911"/>
    <w:rsid w:val="711F3C27"/>
    <w:rsid w:val="712066E9"/>
    <w:rsid w:val="71251E31"/>
    <w:rsid w:val="713C0B14"/>
    <w:rsid w:val="713C3240"/>
    <w:rsid w:val="713D3849"/>
    <w:rsid w:val="714F676A"/>
    <w:rsid w:val="715B5300"/>
    <w:rsid w:val="716178A3"/>
    <w:rsid w:val="71621987"/>
    <w:rsid w:val="7165757A"/>
    <w:rsid w:val="716821D3"/>
    <w:rsid w:val="716B1BD6"/>
    <w:rsid w:val="717774BF"/>
    <w:rsid w:val="7182050E"/>
    <w:rsid w:val="71844C7B"/>
    <w:rsid w:val="71845086"/>
    <w:rsid w:val="718673A5"/>
    <w:rsid w:val="71894BDA"/>
    <w:rsid w:val="719C7F00"/>
    <w:rsid w:val="71AE22D5"/>
    <w:rsid w:val="71AF6C1A"/>
    <w:rsid w:val="71AF6C60"/>
    <w:rsid w:val="71BA47CF"/>
    <w:rsid w:val="71C14810"/>
    <w:rsid w:val="71D05E19"/>
    <w:rsid w:val="71D27F8A"/>
    <w:rsid w:val="71D77B69"/>
    <w:rsid w:val="71DD1F8D"/>
    <w:rsid w:val="71EB5AA8"/>
    <w:rsid w:val="71EC44B1"/>
    <w:rsid w:val="71EE6A84"/>
    <w:rsid w:val="71F176D8"/>
    <w:rsid w:val="71FA6C15"/>
    <w:rsid w:val="720B7C3D"/>
    <w:rsid w:val="720E2B79"/>
    <w:rsid w:val="723D0FE7"/>
    <w:rsid w:val="723F6324"/>
    <w:rsid w:val="725131DA"/>
    <w:rsid w:val="72553024"/>
    <w:rsid w:val="72574410"/>
    <w:rsid w:val="726142BD"/>
    <w:rsid w:val="72696639"/>
    <w:rsid w:val="727C7940"/>
    <w:rsid w:val="727E1346"/>
    <w:rsid w:val="728E2359"/>
    <w:rsid w:val="72936E59"/>
    <w:rsid w:val="72963F25"/>
    <w:rsid w:val="729F7BE8"/>
    <w:rsid w:val="72B02237"/>
    <w:rsid w:val="72B57912"/>
    <w:rsid w:val="72B65499"/>
    <w:rsid w:val="72C5701F"/>
    <w:rsid w:val="72D53112"/>
    <w:rsid w:val="72E93F84"/>
    <w:rsid w:val="72E97F38"/>
    <w:rsid w:val="72ED1227"/>
    <w:rsid w:val="73001B87"/>
    <w:rsid w:val="73006D18"/>
    <w:rsid w:val="730F649E"/>
    <w:rsid w:val="73122968"/>
    <w:rsid w:val="731657A6"/>
    <w:rsid w:val="73194663"/>
    <w:rsid w:val="731E2CB7"/>
    <w:rsid w:val="731F5D5E"/>
    <w:rsid w:val="733401A1"/>
    <w:rsid w:val="73427346"/>
    <w:rsid w:val="73512594"/>
    <w:rsid w:val="735C65DC"/>
    <w:rsid w:val="736B0B58"/>
    <w:rsid w:val="7378699D"/>
    <w:rsid w:val="738E1333"/>
    <w:rsid w:val="739127D3"/>
    <w:rsid w:val="73AB01D2"/>
    <w:rsid w:val="73B40E35"/>
    <w:rsid w:val="73C01FD7"/>
    <w:rsid w:val="73C51AD5"/>
    <w:rsid w:val="73D10F46"/>
    <w:rsid w:val="73DE3FB3"/>
    <w:rsid w:val="740600D1"/>
    <w:rsid w:val="740D3EB3"/>
    <w:rsid w:val="74105633"/>
    <w:rsid w:val="74117765"/>
    <w:rsid w:val="741E793C"/>
    <w:rsid w:val="74246470"/>
    <w:rsid w:val="743B708F"/>
    <w:rsid w:val="743E3CF7"/>
    <w:rsid w:val="7440484C"/>
    <w:rsid w:val="7449457D"/>
    <w:rsid w:val="74541A6B"/>
    <w:rsid w:val="745E3944"/>
    <w:rsid w:val="746A712C"/>
    <w:rsid w:val="746D116A"/>
    <w:rsid w:val="747743B4"/>
    <w:rsid w:val="7478795A"/>
    <w:rsid w:val="747F624D"/>
    <w:rsid w:val="7486167D"/>
    <w:rsid w:val="748E0F38"/>
    <w:rsid w:val="74934641"/>
    <w:rsid w:val="749371C5"/>
    <w:rsid w:val="74986BAF"/>
    <w:rsid w:val="749D6406"/>
    <w:rsid w:val="749F23B1"/>
    <w:rsid w:val="74AD7E59"/>
    <w:rsid w:val="74BA2448"/>
    <w:rsid w:val="74C755EA"/>
    <w:rsid w:val="74CD5648"/>
    <w:rsid w:val="74D32084"/>
    <w:rsid w:val="74DB7FD2"/>
    <w:rsid w:val="74FE06AF"/>
    <w:rsid w:val="75001E73"/>
    <w:rsid w:val="75122761"/>
    <w:rsid w:val="751F6F6C"/>
    <w:rsid w:val="75307D14"/>
    <w:rsid w:val="753773A9"/>
    <w:rsid w:val="75381340"/>
    <w:rsid w:val="75555F53"/>
    <w:rsid w:val="75750A98"/>
    <w:rsid w:val="758F1FF3"/>
    <w:rsid w:val="759058D2"/>
    <w:rsid w:val="75970A0E"/>
    <w:rsid w:val="75996461"/>
    <w:rsid w:val="75AB0991"/>
    <w:rsid w:val="75AE624D"/>
    <w:rsid w:val="75BA64AB"/>
    <w:rsid w:val="75C34742"/>
    <w:rsid w:val="75D31D69"/>
    <w:rsid w:val="75D805B1"/>
    <w:rsid w:val="75FC07F9"/>
    <w:rsid w:val="760B17BD"/>
    <w:rsid w:val="76127521"/>
    <w:rsid w:val="7635099D"/>
    <w:rsid w:val="763B1755"/>
    <w:rsid w:val="764B1616"/>
    <w:rsid w:val="76557CFE"/>
    <w:rsid w:val="765763D3"/>
    <w:rsid w:val="766617F2"/>
    <w:rsid w:val="767412AA"/>
    <w:rsid w:val="7695203B"/>
    <w:rsid w:val="76A126B1"/>
    <w:rsid w:val="76BF7EB1"/>
    <w:rsid w:val="76C30439"/>
    <w:rsid w:val="76C74A62"/>
    <w:rsid w:val="76CD1EC6"/>
    <w:rsid w:val="76CD4733"/>
    <w:rsid w:val="76D343EA"/>
    <w:rsid w:val="76D437E6"/>
    <w:rsid w:val="76DA5057"/>
    <w:rsid w:val="76EE0A9D"/>
    <w:rsid w:val="76F72A76"/>
    <w:rsid w:val="774C40DF"/>
    <w:rsid w:val="774C5962"/>
    <w:rsid w:val="77513F1E"/>
    <w:rsid w:val="775B0F5B"/>
    <w:rsid w:val="775E16B6"/>
    <w:rsid w:val="7765645C"/>
    <w:rsid w:val="77762421"/>
    <w:rsid w:val="77961213"/>
    <w:rsid w:val="77A900DD"/>
    <w:rsid w:val="77A9532D"/>
    <w:rsid w:val="77B056BD"/>
    <w:rsid w:val="77B56B1F"/>
    <w:rsid w:val="77D54ABC"/>
    <w:rsid w:val="77DE0616"/>
    <w:rsid w:val="77E34A18"/>
    <w:rsid w:val="77F75456"/>
    <w:rsid w:val="77FA5285"/>
    <w:rsid w:val="780F09F4"/>
    <w:rsid w:val="78115779"/>
    <w:rsid w:val="78280774"/>
    <w:rsid w:val="782E2472"/>
    <w:rsid w:val="782F4F2E"/>
    <w:rsid w:val="783662E3"/>
    <w:rsid w:val="78381A66"/>
    <w:rsid w:val="78390552"/>
    <w:rsid w:val="784F759D"/>
    <w:rsid w:val="7850641D"/>
    <w:rsid w:val="78511CDB"/>
    <w:rsid w:val="78532583"/>
    <w:rsid w:val="78592A70"/>
    <w:rsid w:val="788A4357"/>
    <w:rsid w:val="788E5ECB"/>
    <w:rsid w:val="78926AD5"/>
    <w:rsid w:val="789A6DF2"/>
    <w:rsid w:val="78A10B05"/>
    <w:rsid w:val="78A7191D"/>
    <w:rsid w:val="78A90480"/>
    <w:rsid w:val="78A945CD"/>
    <w:rsid w:val="78A953D3"/>
    <w:rsid w:val="78BD0C81"/>
    <w:rsid w:val="78C45649"/>
    <w:rsid w:val="78C45BA2"/>
    <w:rsid w:val="78D17840"/>
    <w:rsid w:val="79153E52"/>
    <w:rsid w:val="7920079B"/>
    <w:rsid w:val="793D7555"/>
    <w:rsid w:val="795A2BE0"/>
    <w:rsid w:val="798473CB"/>
    <w:rsid w:val="7986452E"/>
    <w:rsid w:val="79995763"/>
    <w:rsid w:val="79A923A1"/>
    <w:rsid w:val="79B660F0"/>
    <w:rsid w:val="79C72D7E"/>
    <w:rsid w:val="79CF7F97"/>
    <w:rsid w:val="79F50469"/>
    <w:rsid w:val="79F614EE"/>
    <w:rsid w:val="7A012350"/>
    <w:rsid w:val="7A0B2516"/>
    <w:rsid w:val="7A1C2404"/>
    <w:rsid w:val="7A313D01"/>
    <w:rsid w:val="7A364017"/>
    <w:rsid w:val="7A7035A2"/>
    <w:rsid w:val="7A8265E1"/>
    <w:rsid w:val="7A901809"/>
    <w:rsid w:val="7A9B107F"/>
    <w:rsid w:val="7A9C2379"/>
    <w:rsid w:val="7AB160CE"/>
    <w:rsid w:val="7AB76E16"/>
    <w:rsid w:val="7AC608C9"/>
    <w:rsid w:val="7AC75F09"/>
    <w:rsid w:val="7ACA264B"/>
    <w:rsid w:val="7AD623F3"/>
    <w:rsid w:val="7AD82187"/>
    <w:rsid w:val="7ADA7635"/>
    <w:rsid w:val="7AF23B8D"/>
    <w:rsid w:val="7B0408F4"/>
    <w:rsid w:val="7B120500"/>
    <w:rsid w:val="7B135D86"/>
    <w:rsid w:val="7B1840BE"/>
    <w:rsid w:val="7B1C700A"/>
    <w:rsid w:val="7B24530D"/>
    <w:rsid w:val="7B3D1A10"/>
    <w:rsid w:val="7B4A3D36"/>
    <w:rsid w:val="7B4E3942"/>
    <w:rsid w:val="7B4E7574"/>
    <w:rsid w:val="7B5377C1"/>
    <w:rsid w:val="7B686D42"/>
    <w:rsid w:val="7B76356F"/>
    <w:rsid w:val="7B841746"/>
    <w:rsid w:val="7B8C30C7"/>
    <w:rsid w:val="7B963E81"/>
    <w:rsid w:val="7B9D34AB"/>
    <w:rsid w:val="7BB544DE"/>
    <w:rsid w:val="7BC146AC"/>
    <w:rsid w:val="7BD63C7D"/>
    <w:rsid w:val="7BD6678D"/>
    <w:rsid w:val="7BE67BF4"/>
    <w:rsid w:val="7BE71BAE"/>
    <w:rsid w:val="7BE8469C"/>
    <w:rsid w:val="7BF33C8C"/>
    <w:rsid w:val="7BF761AA"/>
    <w:rsid w:val="7BF8268E"/>
    <w:rsid w:val="7BFC6C36"/>
    <w:rsid w:val="7C0342A8"/>
    <w:rsid w:val="7C062D32"/>
    <w:rsid w:val="7C2849F8"/>
    <w:rsid w:val="7C3344E3"/>
    <w:rsid w:val="7C3921A5"/>
    <w:rsid w:val="7C3A337B"/>
    <w:rsid w:val="7C3B6876"/>
    <w:rsid w:val="7C4116D4"/>
    <w:rsid w:val="7C4A5855"/>
    <w:rsid w:val="7C5C2726"/>
    <w:rsid w:val="7C6C5AC7"/>
    <w:rsid w:val="7C725D31"/>
    <w:rsid w:val="7C7F0DC3"/>
    <w:rsid w:val="7C821CE3"/>
    <w:rsid w:val="7C8B4405"/>
    <w:rsid w:val="7CB1067C"/>
    <w:rsid w:val="7CB75D15"/>
    <w:rsid w:val="7CC6544B"/>
    <w:rsid w:val="7CD4371C"/>
    <w:rsid w:val="7CD6628F"/>
    <w:rsid w:val="7CDC3BFF"/>
    <w:rsid w:val="7CF14EA8"/>
    <w:rsid w:val="7CFB3976"/>
    <w:rsid w:val="7D0239FF"/>
    <w:rsid w:val="7D0E0AB3"/>
    <w:rsid w:val="7D1853B9"/>
    <w:rsid w:val="7D335496"/>
    <w:rsid w:val="7D38459D"/>
    <w:rsid w:val="7D40127E"/>
    <w:rsid w:val="7D4C0EE1"/>
    <w:rsid w:val="7D5A1576"/>
    <w:rsid w:val="7D5E40CD"/>
    <w:rsid w:val="7D7E188C"/>
    <w:rsid w:val="7D824EA8"/>
    <w:rsid w:val="7D84529B"/>
    <w:rsid w:val="7D89117B"/>
    <w:rsid w:val="7D902838"/>
    <w:rsid w:val="7D90323E"/>
    <w:rsid w:val="7D964F32"/>
    <w:rsid w:val="7D985C79"/>
    <w:rsid w:val="7DAC6539"/>
    <w:rsid w:val="7DCD56F2"/>
    <w:rsid w:val="7DD34312"/>
    <w:rsid w:val="7DD425D3"/>
    <w:rsid w:val="7DE65CEA"/>
    <w:rsid w:val="7DE92023"/>
    <w:rsid w:val="7DFE4255"/>
    <w:rsid w:val="7E006E1B"/>
    <w:rsid w:val="7E0D5D12"/>
    <w:rsid w:val="7E1C4A2C"/>
    <w:rsid w:val="7E245E0B"/>
    <w:rsid w:val="7E2551B7"/>
    <w:rsid w:val="7E2C7134"/>
    <w:rsid w:val="7E383B13"/>
    <w:rsid w:val="7E3C338E"/>
    <w:rsid w:val="7E3F0A8A"/>
    <w:rsid w:val="7E436A38"/>
    <w:rsid w:val="7E463164"/>
    <w:rsid w:val="7E4E6D88"/>
    <w:rsid w:val="7E4F5611"/>
    <w:rsid w:val="7E507512"/>
    <w:rsid w:val="7E5659F5"/>
    <w:rsid w:val="7E5F2B8D"/>
    <w:rsid w:val="7E653E85"/>
    <w:rsid w:val="7E6E38CF"/>
    <w:rsid w:val="7E747F9D"/>
    <w:rsid w:val="7E7E276B"/>
    <w:rsid w:val="7E8402AD"/>
    <w:rsid w:val="7E8D07F5"/>
    <w:rsid w:val="7E9006F1"/>
    <w:rsid w:val="7EAC1057"/>
    <w:rsid w:val="7EF15D45"/>
    <w:rsid w:val="7F001CE7"/>
    <w:rsid w:val="7F05085C"/>
    <w:rsid w:val="7F0F370D"/>
    <w:rsid w:val="7F343930"/>
    <w:rsid w:val="7F3E06A8"/>
    <w:rsid w:val="7F452A5B"/>
    <w:rsid w:val="7F533227"/>
    <w:rsid w:val="7F570B8A"/>
    <w:rsid w:val="7F73572B"/>
    <w:rsid w:val="7F786243"/>
    <w:rsid w:val="7F871AF4"/>
    <w:rsid w:val="7F8E4866"/>
    <w:rsid w:val="7F8F05FD"/>
    <w:rsid w:val="7F9E186F"/>
    <w:rsid w:val="7FA645F5"/>
    <w:rsid w:val="7FA95C02"/>
    <w:rsid w:val="7FC612B4"/>
    <w:rsid w:val="7FD206DF"/>
    <w:rsid w:val="7FE47E50"/>
    <w:rsid w:val="7FE707E4"/>
    <w:rsid w:val="7FF82FA7"/>
    <w:rsid w:val="7FFC6921"/>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EmbedSmartTag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ocked="1"/>
    <w:lsdException w:qFormat="1" w:unhideWhenUsed="0" w:uiPriority="0" w:semiHidden="0" w:name="heading 2" w:locked="1"/>
    <w:lsdException w:qFormat="1" w:uiPriority="0" w:name="heading 3" w:locked="1"/>
    <w:lsdException w:qFormat="1" w:uiPriority="0" w:semiHidden="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nhideWhenUsed="0" w:uiPriority="0" w:semiHidden="0" w:name="index 1"/>
    <w:lsdException w:unhideWhenUsed="0" w:uiPriority="0" w:semiHidden="0" w:name="index 2" w:locked="1"/>
    <w:lsdException w:unhideWhenUsed="0" w:uiPriority="0" w:semiHidden="0" w:name="index 3" w:locked="1"/>
    <w:lsdException w:unhideWhenUsed="0" w:uiPriority="0" w:semiHidden="0" w:name="index 4" w:locked="1"/>
    <w:lsdException w:unhideWhenUsed="0" w:uiPriority="0" w:semiHidden="0" w:name="index 5" w:locked="1"/>
    <w:lsdException w:unhideWhenUsed="0" w:uiPriority="0" w:semiHidden="0" w:name="index 6" w:locked="1"/>
    <w:lsdException w:unhideWhenUsed="0" w:uiPriority="0" w:semiHidden="0" w:name="index 7" w:locked="1"/>
    <w:lsdException w:unhideWhenUsed="0" w:uiPriority="0" w:semiHidden="0" w:name="index 8" w:locked="1"/>
    <w:lsdException w:unhideWhenUsed="0" w:uiPriority="0" w:semiHidden="0" w:name="index 9" w:locked="1"/>
    <w:lsdException w:unhideWhenUsed="0" w:uiPriority="0" w:semiHidden="0" w:name="toc 1" w:locked="1"/>
    <w:lsdException w:unhideWhenUsed="0" w:uiPriority="0" w:semiHidden="0" w:name="toc 2" w:locked="1"/>
    <w:lsdException w:qFormat="1" w:uiPriority="39"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nhideWhenUsed="0" w:uiPriority="0" w:semiHidden="0" w:name="Normal Indent"/>
    <w:lsdException w:unhideWhenUsed="0" w:uiPriority="0" w:semiHidden="0" w:name="footnote text" w:locked="1"/>
    <w:lsdException w:qFormat="1"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nhideWhenUsed="0" w:uiPriority="0" w:semiHidden="0" w:name="caption" w:locked="1"/>
    <w:lsdException w:unhideWhenUsed="0" w:uiPriority="0" w:semiHidden="0" w:name="table of figures" w:locked="1"/>
    <w:lsdException w:unhideWhenUsed="0" w:uiPriority="0" w:semiHidden="0" w:name="envelope address" w:locked="1"/>
    <w:lsdException w:unhideWhenUsed="0" w:uiPriority="0" w:semiHidden="0" w:name="envelope return"/>
    <w:lsdException w:unhideWhenUsed="0" w:uiPriority="0" w:semiHidden="0" w:name="footnote reference" w:locked="1"/>
    <w:lsdException w:unhideWhenUsed="0" w:uiPriority="0" w:semiHidden="0" w:name="annotation reference"/>
    <w:lsdException w:unhideWhenUsed="0" w:uiPriority="0" w:semiHidden="0" w:name="line number" w:locked="1"/>
    <w:lsdException w:unhideWhenUsed="0" w:uiPriority="0" w:semiHidden="0" w:name="page number"/>
    <w:lsdException w:unhideWhenUsed="0" w:uiPriority="0" w:semiHidden="0" w:name="endnote reference" w:locked="1"/>
    <w:lsdException w:unhideWhenUsed="0" w:uiPriority="0" w:semiHidden="0" w:name="endnote text" w:locked="1"/>
    <w:lsdException w:unhideWhenUsed="0" w:uiPriority="0" w:semiHidden="0" w:name="table of authorities" w:locked="1"/>
    <w:lsdException w:unhideWhenUsed="0" w:uiPriority="0" w:semiHidden="0" w:name="macro" w:locked="1"/>
    <w:lsdException w:unhideWhenUsed="0" w:uiPriority="0" w:semiHidden="0" w:name="toa heading" w:locked="1"/>
    <w:lsdException w:unhideWhenUsed="0" w:uiPriority="0" w:semiHidden="0" w:name="List" w:locked="1"/>
    <w:lsdException w:unhideWhenUsed="0" w:uiPriority="0" w:semiHidden="0" w:name="List Bullet" w:locked="1"/>
    <w:lsdException w:unhideWhenUsed="0" w:uiPriority="0" w:semiHidden="0" w:name="List Number" w:locked="1"/>
    <w:lsdException w:qFormat="1" w:unhideWhenUsed="0" w:uiPriority="0" w:semiHidden="0" w:name="List 2" w:locked="1"/>
    <w:lsdException w:unhideWhenUsed="0" w:uiPriority="0" w:semiHidden="0" w:name="List 3" w:locked="1"/>
    <w:lsdException w:unhideWhenUsed="0" w:uiPriority="0" w:semiHidden="0" w:name="List 4" w:locked="1"/>
    <w:lsdException w:unhideWhenUsed="0" w:uiPriority="0" w:semiHidden="0" w:name="List 5" w:locked="1"/>
    <w:lsdException w:unhideWhenUsed="0" w:uiPriority="0" w:semiHidden="0" w:name="List Bullet 2" w:locked="1"/>
    <w:lsdException w:unhideWhenUsed="0" w:uiPriority="0" w:semiHidden="0" w:name="List Bullet 3" w:locked="1"/>
    <w:lsdException w:unhideWhenUsed="0" w:uiPriority="0" w:semiHidden="0" w:name="List Bullet 4" w:locked="1"/>
    <w:lsdException w:unhideWhenUsed="0" w:uiPriority="0" w:semiHidden="0" w:name="List Bullet 5"/>
    <w:lsdException w:unhideWhenUsed="0" w:uiPriority="0" w:semiHidden="0" w:name="List Number 2" w:locked="1"/>
    <w:lsdException w:unhideWhenUsed="0" w:uiPriority="0" w:semiHidden="0" w:name="List Number 3" w:locked="1"/>
    <w:lsdException w:unhideWhenUsed="0" w:uiPriority="0" w:semiHidden="0" w:name="List Number 4" w:locked="1"/>
    <w:lsdException w:unhideWhenUsed="0" w:uiPriority="0" w:semiHidden="0" w:name="List Number 5" w:locked="1"/>
    <w:lsdException w:qFormat="1" w:unhideWhenUsed="0" w:uiPriority="0" w:semiHidden="0" w:name="Title" w:locked="1"/>
    <w:lsdException w:unhideWhenUsed="0" w:uiPriority="0" w:semiHidden="0" w:name="Closing" w:locked="1"/>
    <w:lsdException w:unhideWhenUsed="0" w:uiPriority="0" w:semiHidden="0" w:name="Signature" w:locked="1"/>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ocked="1"/>
    <w:lsdException w:unhideWhenUsed="0" w:uiPriority="0" w:semiHidden="0" w:name="List Continue 2" w:locked="1"/>
    <w:lsdException w:unhideWhenUsed="0" w:uiPriority="0" w:semiHidden="0" w:name="List Continue 3" w:locked="1"/>
    <w:lsdException w:unhideWhenUsed="0" w:uiPriority="0" w:semiHidden="0" w:name="List Continue 4" w:locked="1"/>
    <w:lsdException w:unhideWhenUsed="0" w:uiPriority="0" w:semiHidden="0" w:name="List Continue 5" w:locked="1"/>
    <w:lsdException w:unhideWhenUsed="0" w:uiPriority="0" w:semiHidden="0" w:name="Message Header" w:locked="1"/>
    <w:lsdException w:qFormat="1" w:unhideWhenUsed="0" w:uiPriority="0" w:semiHidden="0" w:name="Subtitle" w:locked="1"/>
    <w:lsdException w:unhideWhenUsed="0" w:uiPriority="0" w:semiHidden="0" w:name="Salutation" w:locked="1"/>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ocked="1"/>
    <w:lsdException w:unhideWhenUsed="0" w:uiPriority="0" w:semiHidden="0" w:name="Body Text 2" w:locked="1"/>
    <w:lsdException w:unhideWhenUsed="0" w:uiPriority="0" w:semiHidden="0" w:name="Body Text 3" w:locked="1"/>
    <w:lsdException w:unhideWhenUsed="0" w:uiPriority="0" w:semiHidden="0" w:name="Body Text Indent 2"/>
    <w:lsdException w:unhideWhenUsed="0" w:uiPriority="0" w:semiHidden="0" w:name="Body Text Indent 3" w:locked="1"/>
    <w:lsdException w:unhideWhenUsed="0" w:uiPriority="0" w:semiHidden="0" w:name="Block Text" w:locked="1"/>
    <w:lsdException w:unhideWhenUsed="0" w:uiPriority="0" w:semiHidden="0" w:name="Hyperlink" w:locked="1"/>
    <w:lsdException w:unhideWhenUsed="0" w:uiPriority="0" w:semiHidden="0" w:name="FollowedHyperlink" w:locked="1"/>
    <w:lsdException w:qFormat="1" w:unhideWhenUsed="0" w:uiPriority="0" w:semiHidden="0" w:name="Strong" w:locked="1"/>
    <w:lsdException w:qFormat="1" w:unhideWhenUsed="0" w:uiPriority="0" w:semiHidden="0" w:name="Emphasis" w:locked="1"/>
    <w:lsdException w:unhideWhenUsed="0" w:uiPriority="0" w:semiHidden="0" w:name="Document Map" w:locked="1"/>
    <w:lsdException w:unhideWhenUsed="0" w:uiPriority="0" w:semiHidden="0" w:name="Plain Text" w:locked="1"/>
    <w:lsdException w:unhideWhenUsed="0" w:uiPriority="0" w:semiHidden="0" w:name="E-mail Signature" w:locked="1"/>
    <w:lsdException w:unhideWhenUsed="0" w:uiPriority="0" w:semiHidden="0" w:name="Normal (Web)"/>
    <w:lsdException w:unhideWhenUsed="0" w:uiPriority="0" w:semiHidden="0" w:name="HTML Acronym" w:locked="1"/>
    <w:lsdException w:unhideWhenUsed="0" w:uiPriority="0" w:semiHidden="0" w:name="HTML Address" w:locked="1"/>
    <w:lsdException w:unhideWhenUsed="0" w:uiPriority="0" w:semiHidden="0" w:name="HTML Cite" w:locked="1"/>
    <w:lsdException w:unhideWhenUsed="0" w:uiPriority="0" w:semiHidden="0" w:name="HTML Code" w:locked="1"/>
    <w:lsdException w:unhideWhenUsed="0" w:uiPriority="0" w:semiHidden="0" w:name="HTML Definition" w:locked="1"/>
    <w:lsdException w:unhideWhenUsed="0" w:uiPriority="0" w:semiHidden="0" w:name="HTML Keyboard" w:locked="1"/>
    <w:lsdException w:unhideWhenUsed="0" w:uiPriority="0" w:semiHidden="0" w:name="HTML Preformatted" w:locked="1"/>
    <w:lsdException w:unhideWhenUsed="0" w:uiPriority="0" w:semiHidden="0" w:name="HTML Sample" w:locked="1"/>
    <w:lsdException w:unhideWhenUsed="0" w:uiPriority="0" w:semiHidden="0" w:name="HTML Typewriter" w:locked="1"/>
    <w:lsdException w:unhideWhenUsed="0" w:uiPriority="0" w:semiHidden="0" w:name="HTML Variable" w:locked="1"/>
    <w:lsdException w:qFormat="1" w:unhideWhenUsed="0" w:uiPriority="0" w:name="Normal Table"/>
    <w:lsdException w:unhideWhenUsed="0" w:uiPriority="0" w:semiHidden="0" w:name="annotation subject"/>
    <w:lsdException w:unhideWhenUsed="0" w:uiPriority="0" w:semiHidden="0" w:name="Table Simple 1" w:locked="1"/>
    <w:lsdException w:unhideWhenUsed="0" w:uiPriority="0" w:semiHidden="0" w:name="Table Simple 2" w:locked="1"/>
    <w:lsdException w:unhideWhenUsed="0" w:uiPriority="0" w:semiHidden="0" w:name="Table Simple 3" w:locked="1"/>
    <w:lsdException w:unhideWhenUsed="0" w:uiPriority="0" w:semiHidden="0" w:name="Table Classic 1" w:locked="1"/>
    <w:lsdException w:unhideWhenUsed="0" w:uiPriority="0" w:semiHidden="0" w:name="Table Classic 2" w:locked="1"/>
    <w:lsdException w:unhideWhenUsed="0" w:uiPriority="0" w:semiHidden="0" w:name="Table Classic 3" w:locked="1"/>
    <w:lsdException w:unhideWhenUsed="0" w:uiPriority="0" w:semiHidden="0" w:name="Table Classic 4" w:locked="1"/>
    <w:lsdException w:unhideWhenUsed="0" w:uiPriority="0" w:semiHidden="0" w:name="Table Colorful 1" w:locked="1"/>
    <w:lsdException w:unhideWhenUsed="0" w:uiPriority="0" w:semiHidden="0" w:name="Table Colorful 2" w:locked="1"/>
    <w:lsdException w:unhideWhenUsed="0" w:uiPriority="0" w:semiHidden="0" w:name="Table Colorful 3" w:locked="1"/>
    <w:lsdException w:unhideWhenUsed="0" w:uiPriority="0" w:semiHidden="0" w:name="Table Columns 1" w:locked="1"/>
    <w:lsdException w:unhideWhenUsed="0" w:uiPriority="0" w:semiHidden="0" w:name="Table Columns 2" w:locked="1"/>
    <w:lsdException w:unhideWhenUsed="0" w:uiPriority="0" w:semiHidden="0" w:name="Table Columns 3" w:locked="1"/>
    <w:lsdException w:unhideWhenUsed="0" w:uiPriority="0" w:semiHidden="0" w:name="Table Columns 4" w:locked="1"/>
    <w:lsdException w:unhideWhenUsed="0" w:uiPriority="0" w:semiHidden="0" w:name="Table Columns 5" w:locked="1"/>
    <w:lsdException w:unhideWhenUsed="0" w:uiPriority="0" w:semiHidden="0" w:name="Table Grid 1" w:locked="1"/>
    <w:lsdException w:unhideWhenUsed="0" w:uiPriority="0" w:semiHidden="0" w:name="Table Grid 2" w:locked="1"/>
    <w:lsdException w:unhideWhenUsed="0" w:uiPriority="0" w:semiHidden="0" w:name="Table Grid 3" w:locked="1"/>
    <w:lsdException w:unhideWhenUsed="0" w:uiPriority="0" w:semiHidden="0" w:name="Table Grid 4" w:locked="1"/>
    <w:lsdException w:unhideWhenUsed="0" w:uiPriority="0" w:semiHidden="0" w:name="Table Grid 5" w:locked="1"/>
    <w:lsdException w:unhideWhenUsed="0" w:uiPriority="0" w:semiHidden="0" w:name="Table Grid 6" w:locked="1"/>
    <w:lsdException w:unhideWhenUsed="0" w:uiPriority="0" w:semiHidden="0" w:name="Table Grid 7" w:locked="1"/>
    <w:lsdException w:unhideWhenUsed="0" w:uiPriority="0" w:semiHidden="0" w:name="Table Grid 8" w:locked="1"/>
    <w:lsdException w:unhideWhenUsed="0" w:uiPriority="0" w:semiHidden="0" w:name="Table List 1" w:locked="1"/>
    <w:lsdException w:unhideWhenUsed="0" w:uiPriority="0" w:semiHidden="0" w:name="Table List 2" w:locked="1"/>
    <w:lsdException w:unhideWhenUsed="0" w:uiPriority="0" w:semiHidden="0" w:name="Table List 3" w:locked="1"/>
    <w:lsdException w:unhideWhenUsed="0" w:uiPriority="0" w:semiHidden="0" w:name="Table List 4" w:locked="1"/>
    <w:lsdException w:unhideWhenUsed="0" w:uiPriority="0" w:semiHidden="0" w:name="Table List 5" w:locked="1"/>
    <w:lsdException w:unhideWhenUsed="0" w:uiPriority="0" w:semiHidden="0" w:name="Table List 6" w:locked="1"/>
    <w:lsdException w:unhideWhenUsed="0" w:uiPriority="0" w:semiHidden="0" w:name="Table List 7" w:locked="1"/>
    <w:lsdException w:unhideWhenUsed="0" w:uiPriority="0" w:semiHidden="0" w:name="Table List 8" w:locked="1"/>
    <w:lsdException w:unhideWhenUsed="0" w:uiPriority="0" w:semiHidden="0" w:name="Table 3D effects 1" w:locked="1"/>
    <w:lsdException w:unhideWhenUsed="0" w:uiPriority="0" w:semiHidden="0" w:name="Table 3D effects 2" w:locked="1"/>
    <w:lsdException w:unhideWhenUsed="0" w:uiPriority="0" w:semiHidden="0" w:name="Table 3D effects 3" w:locked="1"/>
    <w:lsdException w:unhideWhenUsed="0" w:uiPriority="0" w:semiHidden="0" w:name="Table Contemporary" w:locked="1"/>
    <w:lsdException w:unhideWhenUsed="0" w:uiPriority="0" w:semiHidden="0" w:name="Table Elegant" w:locked="1"/>
    <w:lsdException w:unhideWhenUsed="0" w:uiPriority="0" w:semiHidden="0" w:name="Table Professional" w:locked="1"/>
    <w:lsdException w:unhideWhenUsed="0" w:uiPriority="0" w:semiHidden="0" w:name="Table Subtle 1" w:locked="1"/>
    <w:lsdException w:unhideWhenUsed="0" w:uiPriority="0" w:semiHidden="0" w:name="Table Subtle 2" w:locked="1"/>
    <w:lsdException w:unhideWhenUsed="0" w:uiPriority="0" w:semiHidden="0" w:name="Table Web 1" w:locked="1"/>
    <w:lsdException w:unhideWhenUsed="0" w:uiPriority="0" w:semiHidden="0" w:name="Table Web 2" w:locked="1"/>
    <w:lsdException w:unhideWhenUsed="0" w:uiPriority="0" w:semiHidden="0" w:name="Table Web 3" w:locked="1"/>
    <w:lsdException w:unhideWhenUsed="0" w:uiPriority="0" w:semiHidden="0" w:name="Balloon Text"/>
    <w:lsdException w:qFormat="1" w:unhideWhenUsed="0" w:uiPriority="0" w:semiHidden="0" w:name="Table Grid"/>
    <w:lsdException w:unhideWhenUsed="0" w:uiPriority="0" w:semiHidden="0"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locked/>
    <w:uiPriority w:val="99"/>
    <w:pPr>
      <w:keepNext/>
      <w:overflowPunct w:val="0"/>
      <w:snapToGrid w:val="0"/>
      <w:spacing w:before="120" w:after="160" w:line="259" w:lineRule="auto"/>
      <w:ind w:left="432" w:hanging="432"/>
      <w:outlineLvl w:val="0"/>
    </w:pPr>
    <w:rPr>
      <w:rFonts w:eastAsia="黑体"/>
      <w:b/>
      <w:bCs/>
      <w:color w:val="000000"/>
      <w:kern w:val="44"/>
      <w:sz w:val="30"/>
      <w:szCs w:val="30"/>
    </w:rPr>
  </w:style>
  <w:style w:type="paragraph" w:styleId="3">
    <w:name w:val="heading 2"/>
    <w:basedOn w:val="1"/>
    <w:next w:val="1"/>
    <w:qFormat/>
    <w:locked/>
    <w:uiPriority w:val="0"/>
    <w:pPr>
      <w:keepNext/>
      <w:keepLines/>
      <w:spacing w:beforeLines="0" w:beforeAutospacing="0" w:afterLines="0" w:afterAutospacing="0" w:line="360" w:lineRule="auto"/>
      <w:ind w:firstLine="0" w:firstLineChars="0"/>
      <w:outlineLvl w:val="1"/>
    </w:pPr>
    <w:rPr>
      <w:rFonts w:ascii="Times New Roman" w:hAnsi="Times New Roman" w:eastAsia="仿宋_GB2312"/>
      <w:b/>
      <w:bCs/>
      <w:sz w:val="24"/>
      <w:szCs w:val="24"/>
    </w:rPr>
  </w:style>
  <w:style w:type="paragraph" w:styleId="4">
    <w:name w:val="heading 4"/>
    <w:basedOn w:val="1"/>
    <w:next w:val="1"/>
    <w:unhideWhenUsed/>
    <w:qFormat/>
    <w:locked/>
    <w:uiPriority w:val="0"/>
    <w:pPr>
      <w:keepNext/>
      <w:keepLines/>
      <w:spacing w:before="280" w:beforeLines="0" w:beforeAutospacing="0" w:after="290" w:afterLines="0" w:afterAutospacing="0" w:line="372" w:lineRule="auto"/>
      <w:outlineLvl w:val="3"/>
    </w:pPr>
    <w:rPr>
      <w:rFonts w:ascii="Arial" w:hAnsi="Arial" w:eastAsia="黑体"/>
      <w:b/>
      <w:sz w:val="28"/>
    </w:rPr>
  </w:style>
  <w:style w:type="character" w:default="1" w:styleId="11">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5">
    <w:name w:val="caption"/>
    <w:basedOn w:val="1"/>
    <w:next w:val="1"/>
    <w:qFormat/>
    <w:locked/>
    <w:uiPriority w:val="0"/>
    <w:rPr>
      <w:rFonts w:ascii="Cambria" w:hAnsi="Cambria" w:eastAsia="黑体" w:cs="Times New Roman"/>
      <w:sz w:val="20"/>
      <w:szCs w:val="20"/>
    </w:rPr>
  </w:style>
  <w:style w:type="paragraph" w:styleId="6">
    <w:name w:val="annotation text"/>
    <w:basedOn w:val="1"/>
    <w:qFormat/>
    <w:uiPriority w:val="0"/>
    <w:pPr>
      <w:jc w:val="left"/>
    </w:pPr>
  </w:style>
  <w:style w:type="paragraph" w:styleId="7">
    <w:name w:val="List 2"/>
    <w:basedOn w:val="1"/>
    <w:qFormat/>
    <w:locked/>
    <w:uiPriority w:val="0"/>
    <w:pPr>
      <w:spacing w:line="360" w:lineRule="exact"/>
      <w:jc w:val="center"/>
    </w:pPr>
    <w:rPr>
      <w:rFonts w:ascii="仿宋_GB2312" w:eastAsia="仿宋_GB2312"/>
    </w:rPr>
  </w:style>
  <w:style w:type="paragraph" w:styleId="8">
    <w:name w:val="toc 3"/>
    <w:basedOn w:val="1"/>
    <w:next w:val="1"/>
    <w:unhideWhenUsed/>
    <w:qFormat/>
    <w:locked/>
    <w:uiPriority w:val="39"/>
    <w:pPr>
      <w:spacing w:line="240" w:lineRule="auto"/>
      <w:ind w:left="840" w:leftChars="400" w:firstLine="0" w:firstLineChars="0"/>
    </w:pPr>
    <w:rPr>
      <w:sz w:val="21"/>
    </w:rPr>
  </w:style>
  <w:style w:type="table" w:styleId="10">
    <w:name w:val="Table Grid"/>
    <w:basedOn w:val="9"/>
    <w:qFormat/>
    <w:uiPriority w:val="0"/>
    <w:rPr>
      <w:lang w:val="en-US" w:eastAsia="zh-CN" w:bidi="ar-S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
    <w:name w:val="纯文本1"/>
    <w:basedOn w:val="1"/>
    <w:qFormat/>
    <w:uiPriority w:val="0"/>
    <w:pPr>
      <w:adjustRightInd w:val="0"/>
      <w:textAlignment w:val="baseline"/>
    </w:pPr>
    <w:rPr>
      <w:rFonts w:ascii="宋体" w:hAnsi="Courier New"/>
      <w:szCs w:val="20"/>
    </w:rPr>
  </w:style>
  <w:style w:type="character" w:customStyle="1" w:styleId="13">
    <w:name w:val="表格 Char"/>
    <w:link w:val="14"/>
    <w:qFormat/>
    <w:locked/>
    <w:uiPriority w:val="0"/>
    <w:rPr>
      <w:rFonts w:ascii="宋体"/>
      <w:sz w:val="21"/>
    </w:rPr>
  </w:style>
  <w:style w:type="paragraph" w:customStyle="1" w:styleId="14">
    <w:name w:val="表格"/>
    <w:basedOn w:val="1"/>
    <w:next w:val="1"/>
    <w:link w:val="13"/>
    <w:qFormat/>
    <w:uiPriority w:val="0"/>
    <w:pPr>
      <w:adjustRightInd w:val="0"/>
      <w:snapToGrid w:val="0"/>
      <w:spacing w:beforeLines="10" w:afterLines="10" w:line="259" w:lineRule="auto"/>
      <w:jc w:val="center"/>
    </w:pPr>
    <w:rPr>
      <w:rFonts w:ascii="宋体"/>
      <w:kern w:val="0"/>
      <w:szCs w:val="20"/>
    </w:rPr>
  </w:style>
  <w:style w:type="paragraph" w:customStyle="1" w:styleId="15">
    <w:name w:val="表格标题"/>
    <w:basedOn w:val="1"/>
    <w:next w:val="1"/>
    <w:qFormat/>
    <w:uiPriority w:val="0"/>
    <w:pPr>
      <w:adjustRightInd/>
      <w:snapToGrid/>
      <w:spacing w:before="50" w:beforeLines="50" w:line="240" w:lineRule="auto"/>
      <w:ind w:left="0" w:leftChars="0" w:firstLine="0" w:firstLineChars="0"/>
      <w:contextualSpacing/>
      <w:jc w:val="center"/>
    </w:pPr>
    <w:rPr>
      <w:rFonts w:ascii="Times New Roman" w:hAnsi="Times New Roman"/>
      <w:b/>
      <w:bCs/>
      <w:color w:val="000000"/>
    </w:rPr>
  </w:style>
  <w:style w:type="paragraph" w:customStyle="1" w:styleId="16">
    <w:name w:val="表头"/>
    <w:basedOn w:val="1"/>
    <w:next w:val="1"/>
    <w:qFormat/>
    <w:uiPriority w:val="0"/>
    <w:pPr>
      <w:ind w:firstLine="0" w:firstLineChars="0"/>
      <w:jc w:val="center"/>
    </w:pPr>
    <w:rPr>
      <w:rFonts w:eastAsia="黑体"/>
      <w:b/>
      <w:sz w:val="21"/>
      <w:szCs w:val="21"/>
    </w:rPr>
  </w:style>
  <w:style w:type="paragraph" w:customStyle="1" w:styleId="17">
    <w:name w:val="表体"/>
    <w:qFormat/>
    <w:uiPriority w:val="0"/>
    <w:pPr>
      <w:jc w:val="center"/>
    </w:pPr>
    <w:rPr>
      <w:rFonts w:ascii="宋体" w:hAnsi="宋体" w:eastAsia="宋体" w:cs="Times New Roman"/>
      <w:color w:val="000080"/>
      <w:kern w:val="2"/>
      <w:sz w:val="24"/>
      <w:szCs w:val="24"/>
      <w:lang w:val="en-US" w:eastAsia="zh-CN" w:bidi="ar-SA"/>
    </w:rPr>
  </w:style>
  <w:style w:type="paragraph" w:customStyle="1" w:styleId="18">
    <w:name w:val="表格标题行"/>
    <w:basedOn w:val="1"/>
    <w:qFormat/>
    <w:uiPriority w:val="0"/>
    <w:pPr>
      <w:spacing w:line="240" w:lineRule="auto"/>
      <w:jc w:val="center"/>
    </w:pPr>
    <w:rPr>
      <w:b/>
    </w:rPr>
  </w:style>
  <w:style w:type="paragraph" w:customStyle="1" w:styleId="19">
    <w:name w:val="表名"/>
    <w:basedOn w:val="16"/>
    <w:next w:val="20"/>
    <w:qFormat/>
    <w:uiPriority w:val="0"/>
    <w:pPr>
      <w:keepNext/>
      <w:spacing w:before="120" w:line="240" w:lineRule="auto"/>
      <w:ind w:firstLine="0" w:firstLineChars="0"/>
      <w:jc w:val="center"/>
    </w:pPr>
  </w:style>
  <w:style w:type="paragraph" w:customStyle="1" w:styleId="20">
    <w:name w:val="表头，alt+D"/>
    <w:basedOn w:val="1"/>
    <w:qFormat/>
    <w:uiPriority w:val="0"/>
    <w:pPr>
      <w:spacing w:line="240" w:lineRule="auto"/>
      <w:ind w:firstLine="0" w:firstLineChars="0"/>
      <w:jc w:val="center"/>
      <w:textAlignment w:val="center"/>
    </w:pPr>
    <w:rPr>
      <w:color w:val="808000"/>
      <w:sz w:val="21"/>
      <w:szCs w:val="24"/>
    </w:rPr>
  </w:style>
  <w:style w:type="paragraph" w:customStyle="1" w:styleId="21">
    <w:name w:val="表中文字"/>
    <w:basedOn w:val="1"/>
    <w:qFormat/>
    <w:uiPriority w:val="0"/>
    <w:pPr>
      <w:suppressAutoHyphens w:val="0"/>
      <w:topLinePunct w:val="0"/>
      <w:adjustRightInd w:val="0"/>
      <w:spacing w:line="240" w:lineRule="auto"/>
      <w:ind w:firstLine="0" w:firstLineChars="0"/>
      <w:jc w:val="center"/>
      <w:textAlignment w:val="baseline"/>
    </w:pPr>
    <w:rPr>
      <w:kern w:val="0"/>
      <w:sz w:val="21"/>
      <w:szCs w:val="20"/>
    </w:rPr>
  </w:style>
  <w:style w:type="paragraph" w:customStyle="1" w:styleId="22">
    <w:name w:val="表格、图标题"/>
    <w:qFormat/>
    <w:uiPriority w:val="0"/>
    <w:pPr>
      <w:adjustRightInd w:val="0"/>
      <w:snapToGrid w:val="0"/>
      <w:spacing w:line="240" w:lineRule="auto"/>
      <w:ind w:firstLine="0" w:firstLineChars="0"/>
      <w:jc w:val="center"/>
    </w:pPr>
    <w:rPr>
      <w:rFonts w:ascii="Times New Roman" w:hAnsi="Times New Roman" w:eastAsia="宋体" w:cs="Times New Roman"/>
      <w:b/>
    </w:rPr>
  </w:style>
  <w:style w:type="paragraph" w:customStyle="1" w:styleId="23">
    <w:name w:val="图表标题"/>
    <w:basedOn w:val="1"/>
    <w:qFormat/>
    <w:uiPriority w:val="0"/>
    <w:pPr>
      <w:tabs>
        <w:tab w:val="right" w:leader="dot" w:pos="8296"/>
      </w:tabs>
      <w:adjustRightInd w:val="0"/>
      <w:snapToGrid w:val="0"/>
      <w:spacing w:line="240" w:lineRule="auto"/>
      <w:ind w:left="0"/>
      <w:jc w:val="center"/>
    </w:pPr>
    <w:rPr>
      <w:rFonts w:hint="eastAsia"/>
      <w:b/>
      <w:bCs/>
    </w:rPr>
  </w:style>
  <w:style w:type="paragraph" w:customStyle="1" w:styleId="24">
    <w:name w:val="表格文字"/>
    <w:basedOn w:val="1"/>
    <w:next w:val="1"/>
    <w:qFormat/>
    <w:uiPriority w:val="0"/>
    <w:pPr>
      <w:ind w:firstLine="0" w:firstLineChars="0"/>
      <w:jc w:val="center"/>
    </w:pPr>
    <w:rPr>
      <w:sz w:val="24"/>
    </w:rPr>
  </w:style>
  <w:style w:type="character" w:customStyle="1" w:styleId="25">
    <w:name w:val="图签/表签 Char"/>
    <w:link w:val="26"/>
    <w:qFormat/>
    <w:uiPriority w:val="0"/>
    <w:rPr>
      <w:rFonts w:ascii="Times New Roman" w:hAnsi="Times New Roman" w:eastAsia="仿宋_GB2312"/>
      <w:sz w:val="28"/>
    </w:rPr>
  </w:style>
  <w:style w:type="paragraph" w:customStyle="1" w:styleId="26">
    <w:name w:val="图签/表签"/>
    <w:basedOn w:val="5"/>
    <w:link w:val="25"/>
    <w:qFormat/>
    <w:uiPriority w:val="0"/>
    <w:pPr>
      <w:ind w:firstLine="0" w:firstLineChars="0"/>
      <w:jc w:val="center"/>
    </w:pPr>
    <w:rPr>
      <w:rFonts w:ascii="Times New Roman" w:hAnsi="Times New Roman" w:eastAsia="仿宋_GB2312"/>
      <w:sz w:val="28"/>
    </w:rPr>
  </w:style>
  <w:style w:type="character" w:customStyle="1" w:styleId="27">
    <w:name w:val="表注 Char"/>
    <w:link w:val="28"/>
    <w:qFormat/>
    <w:uiPriority w:val="0"/>
    <w:rPr>
      <w:color w:val="FF0000"/>
      <w:sz w:val="21"/>
      <w:szCs w:val="21"/>
    </w:rPr>
  </w:style>
  <w:style w:type="paragraph" w:customStyle="1" w:styleId="28">
    <w:name w:val="表注"/>
    <w:basedOn w:val="1"/>
    <w:next w:val="29"/>
    <w:link w:val="27"/>
    <w:qFormat/>
    <w:uiPriority w:val="0"/>
    <w:pPr>
      <w:keepLines/>
      <w:spacing w:line="240" w:lineRule="auto"/>
      <w:ind w:left="100" w:leftChars="100" w:right="50" w:rightChars="50" w:hanging="198" w:hangingChars="200"/>
    </w:pPr>
    <w:rPr>
      <w:color w:val="FF0000"/>
      <w:sz w:val="21"/>
      <w:szCs w:val="21"/>
    </w:rPr>
  </w:style>
  <w:style w:type="paragraph" w:customStyle="1" w:styleId="29">
    <w:name w:val="表后空行"/>
    <w:basedOn w:val="1"/>
    <w:next w:val="1"/>
    <w:qFormat/>
    <w:uiPriority w:val="0"/>
    <w:pPr>
      <w:numPr>
        <w:ilvl w:val="4"/>
        <w:numId w:val="0"/>
      </w:numPr>
      <w:spacing w:line="240" w:lineRule="auto"/>
    </w:pPr>
    <w:rPr>
      <w:kern w:val="18"/>
      <w:sz w:val="21"/>
      <w:szCs w:val="21"/>
    </w:rPr>
  </w:style>
  <w:style w:type="paragraph" w:customStyle="1" w:styleId="30">
    <w:name w:val="Default"/>
    <w:basedOn w:val="12"/>
    <w:next w:val="1"/>
    <w:unhideWhenUsed/>
    <w:qFormat/>
    <w:uiPriority w:val="99"/>
    <w:pPr>
      <w:widowControl w:val="0"/>
      <w:autoSpaceDE w:val="0"/>
      <w:autoSpaceDN w:val="0"/>
      <w:adjustRightInd w:val="0"/>
    </w:pPr>
    <w:rPr>
      <w:rFonts w:hint="eastAsia" w:ascii="黑体" w:hAnsi="黑体" w:eastAsia="黑体"/>
      <w:color w:val="000000"/>
      <w:sz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theme" Target="theme/theme1.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20.emf"/><Relationship Id="rId42" Type="http://schemas.openxmlformats.org/officeDocument/2006/relationships/oleObject" Target="embeddings/oleObject15.bin"/><Relationship Id="rId41" Type="http://schemas.openxmlformats.org/officeDocument/2006/relationships/image" Target="media/image19.emf"/><Relationship Id="rId40" Type="http://schemas.openxmlformats.org/officeDocument/2006/relationships/oleObject" Target="embeddings/oleObject14.bin"/><Relationship Id="rId4" Type="http://schemas.openxmlformats.org/officeDocument/2006/relationships/footer" Target="footer1.xml"/><Relationship Id="rId39" Type="http://schemas.openxmlformats.org/officeDocument/2006/relationships/image" Target="media/image18.emf"/><Relationship Id="rId38" Type="http://schemas.openxmlformats.org/officeDocument/2006/relationships/oleObject" Target="embeddings/oleObject13.bin"/><Relationship Id="rId37" Type="http://schemas.openxmlformats.org/officeDocument/2006/relationships/image" Target="media/image17.emf"/><Relationship Id="rId36" Type="http://schemas.openxmlformats.org/officeDocument/2006/relationships/oleObject" Target="embeddings/oleObject12.bin"/><Relationship Id="rId35" Type="http://schemas.openxmlformats.org/officeDocument/2006/relationships/image" Target="media/image16.wmf"/><Relationship Id="rId34" Type="http://schemas.openxmlformats.org/officeDocument/2006/relationships/oleObject" Target="embeddings/oleObject11.bin"/><Relationship Id="rId33" Type="http://schemas.openxmlformats.org/officeDocument/2006/relationships/image" Target="media/image15.png"/><Relationship Id="rId32" Type="http://schemas.openxmlformats.org/officeDocument/2006/relationships/image" Target="media/image14.png"/><Relationship Id="rId31" Type="http://schemas.openxmlformats.org/officeDocument/2006/relationships/image" Target="media/image13.png"/><Relationship Id="rId30" Type="http://schemas.openxmlformats.org/officeDocument/2006/relationships/image" Target="media/image12.emf"/><Relationship Id="rId3" Type="http://schemas.openxmlformats.org/officeDocument/2006/relationships/header" Target="header1.xml"/><Relationship Id="rId29" Type="http://schemas.openxmlformats.org/officeDocument/2006/relationships/oleObject" Target="embeddings/oleObject10.bin"/><Relationship Id="rId28" Type="http://schemas.openxmlformats.org/officeDocument/2006/relationships/image" Target="media/image11.emf"/><Relationship Id="rId27" Type="http://schemas.openxmlformats.org/officeDocument/2006/relationships/oleObject" Target="embeddings/oleObject9.bin"/><Relationship Id="rId26" Type="http://schemas.openxmlformats.org/officeDocument/2006/relationships/image" Target="media/image10.emf"/><Relationship Id="rId25" Type="http://schemas.openxmlformats.org/officeDocument/2006/relationships/oleObject" Target="embeddings/oleObject8.bin"/><Relationship Id="rId24" Type="http://schemas.openxmlformats.org/officeDocument/2006/relationships/image" Target="media/image9.emf"/><Relationship Id="rId23" Type="http://schemas.openxmlformats.org/officeDocument/2006/relationships/oleObject" Target="embeddings/oleObject7.bin"/><Relationship Id="rId22" Type="http://schemas.openxmlformats.org/officeDocument/2006/relationships/image" Target="media/image8.emf"/><Relationship Id="rId21" Type="http://schemas.openxmlformats.org/officeDocument/2006/relationships/oleObject" Target="embeddings/oleObject6.bin"/><Relationship Id="rId20" Type="http://schemas.openxmlformats.org/officeDocument/2006/relationships/image" Target="media/image7.emf"/><Relationship Id="rId2" Type="http://schemas.openxmlformats.org/officeDocument/2006/relationships/settings" Target="settings.xml"/><Relationship Id="rId19" Type="http://schemas.openxmlformats.org/officeDocument/2006/relationships/oleObject" Target="embeddings/oleObject5.bin"/><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emf"/><Relationship Id="rId15" Type="http://schemas.openxmlformats.org/officeDocument/2006/relationships/oleObject" Target="embeddings/oleObject4.bin"/><Relationship Id="rId14" Type="http://schemas.openxmlformats.org/officeDocument/2006/relationships/image" Target="media/image3.emf"/><Relationship Id="rId13" Type="http://schemas.openxmlformats.org/officeDocument/2006/relationships/oleObject" Target="embeddings/oleObject3.bin"/><Relationship Id="rId12" Type="http://schemas.openxmlformats.org/officeDocument/2006/relationships/image" Target="media/image2.emf"/><Relationship Id="rId11" Type="http://schemas.openxmlformats.org/officeDocument/2006/relationships/oleObject" Target="embeddings/oleObject2.bin"/><Relationship Id="rId10" Type="http://schemas.openxmlformats.org/officeDocument/2006/relationships/image" Target="media/image1.em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wdzx97</Template>
  <Company>微软中国</Company>
  <Pages>83</Pages>
  <Words>6376</Words>
  <Characters>6976</Characters>
  <Lines>13</Lines>
  <Paragraphs>3</Paragraphs>
  <TotalTime>0</TotalTime>
  <ScaleCrop>false</ScaleCrop>
  <LinksUpToDate>false</LinksUpToDate>
  <CharactersWithSpaces>7086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2020-12-24T01:29:00Z</dcterms:created>
  <dc:creator>lhj</dc:creator>
  <cp:lastModifiedBy>老丁</cp:lastModifiedBy>
  <cp:lastPrinted>2024-01-30T06:45:00Z</cp:lastPrinted>
  <dcterms:modified xsi:type="dcterms:W3CDTF">2026-06-15T00:18:16Z</dcterms:modified>
  <dc:title>附件2</dc:title>
  <cp:revision>37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56AA1BA86897400DB1BD0B79CE236B2C_13</vt:lpwstr>
  </property>
  <property fmtid="{D5CDD505-2E9C-101B-9397-08002B2CF9AE}" pid="4" name="KSOTemplateDocerSaveRecord">
    <vt:lpwstr>eyJoZGlkIjoiMWZlMDBlZTFhODBiYzg1YjQzY2I4NzcxMjk1YzZiMGEiLCJ1c2VySWQiOiI0NDA5NDE3MzEifQ==</vt:lpwstr>
  </property>
</Properties>
</file>